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8546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785463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785463">
      <w:pPr>
        <w:keepNext/>
        <w:spacing w:after="240"/>
        <w:jc w:val="center"/>
        <w:rPr>
          <w:b/>
        </w:rPr>
      </w:pPr>
      <w:r>
        <w:rPr>
          <w:b/>
        </w:rPr>
        <w:t>w sprawie uznania celowości realizacji zadania publicznego</w:t>
      </w:r>
    </w:p>
    <w:p w:rsidR="00A77B3E" w:rsidRDefault="00785463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 U. </w:t>
      </w:r>
      <w:r>
        <w:t>z 2016 r. poz. 814, poz. 1579, poz. 1948, z 2017 r. poz. 730), art. 19a ustawy z dnia 24 kwietnia 2003 r. o działalności pożytku publicznego i o wolontariacie (Dz. U. z 2016 r. poz. 1817, poz. 1948, z 2017 r. poz. 573), w związku z § 5 ust. 2 </w:t>
      </w:r>
      <w:proofErr w:type="spellStart"/>
      <w:r>
        <w:t>pkt</w:t>
      </w:r>
      <w:proofErr w:type="spellEnd"/>
      <w:r>
        <w:t> 2 Program</w:t>
      </w:r>
      <w:r>
        <w:t>u Współpracy Powiatu Tczewskiego z Organizacjami Pozarządowymi oraz Podmiotami, o których mowa w art. 3 ust. 3 ustawy o działalności pożytku publicznego i o wolontariacie na 2017 rok przyjętego uchwałą Nr XXIII/161/2016 Rady Powiatu Tczewskiego z dnia 29 l</w:t>
      </w:r>
      <w:r>
        <w:t xml:space="preserve">istopada 2016 r.,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785463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>–</w:t>
      </w:r>
      <w:r>
        <w:tab/>
        <w:t>Starosty Tczewskiego</w:t>
      </w:r>
    </w:p>
    <w:p w:rsidR="00A77B3E" w:rsidRDefault="00785463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–</w:t>
      </w:r>
      <w:r>
        <w:tab/>
        <w:t>Wicestarosty</w:t>
      </w:r>
    </w:p>
    <w:p w:rsidR="00A77B3E" w:rsidRDefault="00785463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–</w:t>
      </w:r>
      <w:r>
        <w:tab/>
        <w:t>Członka Zarządu</w:t>
      </w:r>
    </w:p>
    <w:p w:rsidR="00A77B3E" w:rsidRDefault="00785463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–</w:t>
      </w:r>
      <w:r>
        <w:tab/>
        <w:t>Członka Zarz</w:t>
      </w:r>
      <w:r>
        <w:t>ądu</w:t>
      </w:r>
    </w:p>
    <w:p w:rsidR="00A77B3E" w:rsidRDefault="00785463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>–</w:t>
      </w:r>
      <w:r>
        <w:tab/>
        <w:t>Członka Zarządu</w:t>
      </w:r>
    </w:p>
    <w:p w:rsidR="00A77B3E" w:rsidRDefault="00785463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785463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Uznaje się za celową realizację zadania publicznego pod nazwą: Turniej Siatkówki Plażowej na otwarcie nowego boiska, nazwa oferenta: Ochotnicza Straż Pożarna w Jeleniu z siedzi</w:t>
      </w:r>
      <w:r>
        <w:t>bą w Jeleniu.</w:t>
      </w:r>
    </w:p>
    <w:p w:rsidR="00A77B3E" w:rsidRDefault="00785463">
      <w:pPr>
        <w:keepLines/>
        <w:spacing w:before="120" w:after="120"/>
        <w:ind w:firstLine="340"/>
      </w:pPr>
      <w:r>
        <w:t>2. </w:t>
      </w:r>
      <w:r>
        <w:t>Uznaje się za niecelową  realizację zadania publicznego pod nazwą: Sport i turystyka dzieci w okresie wakacyjnym, nazwa oferenta: Uczniowski Klub Sportowy Gminy Pelplin „Tenisista" Rudno z siedzibą w Rudnie.</w:t>
      </w:r>
    </w:p>
    <w:p w:rsidR="00A77B3E" w:rsidRDefault="00785463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Ofertę realizacji zadania </w:t>
      </w:r>
      <w:r>
        <w:t xml:space="preserve">publicznego, o której mowa w § 1 ust. 1, zamieszcza się na okres 7 dni w Biuletynie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http://ngo.powiat.tczew.pl</w:t>
        </w:r>
      </w:hyperlink>
      <w:r>
        <w:rPr>
          <w:color w:val="000000"/>
        </w:rPr>
        <w:t> </w:t>
      </w:r>
      <w:r>
        <w:t xml:space="preserve"> oraz na tablicy ogłoszeń w siedzibie Starostwa Powiatowego w Tczewie.</w:t>
      </w:r>
    </w:p>
    <w:p w:rsidR="00A77B3E" w:rsidRDefault="00785463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Wydziałowi Zdrowia, Spraw Społecznych i PFRON. </w:t>
      </w:r>
    </w:p>
    <w:p w:rsidR="00A77B3E" w:rsidRDefault="00785463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wchodzi w życie z dniem podjęcia.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6B6AD6">
        <w:trPr>
          <w:trHeight w:hRule="exact" w:val="432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</w:t>
            </w:r>
            <w:r>
              <w:rPr>
                <w:sz w:val="22"/>
              </w:rPr>
              <w:t>..................................</w:t>
            </w:r>
          </w:p>
          <w:p w:rsidR="00A77B3E" w:rsidRDefault="00785463">
            <w:pPr>
              <w:jc w:val="right"/>
            </w:pPr>
          </w:p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</w:tc>
      </w:tr>
      <w:tr w:rsidR="006B6AD6">
        <w:trPr>
          <w:trHeight w:hRule="exact" w:val="432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785463">
            <w:pPr>
              <w:jc w:val="right"/>
            </w:pPr>
          </w:p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...............................................................</w:t>
            </w:r>
          </w:p>
        </w:tc>
      </w:tr>
      <w:tr w:rsidR="006B6AD6">
        <w:trPr>
          <w:trHeight w:hRule="exact" w:val="432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785463">
            <w:pPr>
              <w:jc w:val="right"/>
            </w:pPr>
          </w:p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  <w:tr w:rsidR="006B6AD6">
        <w:trPr>
          <w:trHeight w:hRule="exact" w:val="432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785463">
            <w:pPr>
              <w:jc w:val="right"/>
            </w:pPr>
          </w:p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  <w:tr w:rsidR="006B6AD6">
        <w:trPr>
          <w:trHeight w:hRule="exact" w:val="432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85463">
            <w:pPr>
              <w:jc w:val="right"/>
            </w:pPr>
            <w:r>
              <w:rPr>
                <w:sz w:val="22"/>
              </w:rPr>
              <w:t>......</w:t>
            </w:r>
            <w:r>
              <w:rPr>
                <w:sz w:val="22"/>
              </w:rPr>
              <w:t>...................................................</w:t>
            </w:r>
          </w:p>
          <w:p w:rsidR="00A77B3E" w:rsidRDefault="00785463">
            <w:pPr>
              <w:jc w:val="right"/>
            </w:pPr>
          </w:p>
          <w:p w:rsidR="00A77B3E" w:rsidRDefault="00785463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</w:tbl>
    <w:p w:rsidR="00A77B3E" w:rsidRDefault="00785463">
      <w:pPr>
        <w:sectPr w:rsidR="00A77B3E">
          <w:footerReference w:type="default" r:id="rId8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6B6AD6" w:rsidRDefault="006B6AD6">
      <w:pPr>
        <w:pStyle w:val="Normal0"/>
        <w:rPr>
          <w:color w:val="000000"/>
        </w:rPr>
      </w:pPr>
    </w:p>
    <w:p w:rsidR="006B6AD6" w:rsidRDefault="00785463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6B6AD6" w:rsidRDefault="00785463">
      <w:pPr>
        <w:pStyle w:val="Normal0"/>
        <w:spacing w:before="120" w:after="120"/>
        <w:ind w:firstLine="288"/>
        <w:rPr>
          <w:color w:val="000000"/>
        </w:rPr>
      </w:pPr>
      <w:r>
        <w:rPr>
          <w:color w:val="000000"/>
        </w:rPr>
        <w:t>W dniach 15 – 16 maja 2017 r. do Starostwa Powiatowego w Tczewie wpłynęły w trybie pozakonkursowym dwie oferty realizacji zadania publicznego. Zgodnie z art. 19a ustawy z dnia 24 kwietnia 2003 r. o działalności pożytku publicznego i o wolontariacie (Dz. U.</w:t>
      </w:r>
      <w:r>
        <w:rPr>
          <w:color w:val="000000"/>
        </w:rPr>
        <w:t xml:space="preserve"> z 2016 r. poz. 1817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organ wykonawczy jednostki samorządu terytorialnego uznając celowość realizacji zadania, może zlecić organizacji pozarządowej, z pominięciem  otwartego konkursu ofert, jego realizację. Powyższy tryb jest możliwy do zastoso</w:t>
      </w:r>
      <w:r>
        <w:rPr>
          <w:color w:val="000000"/>
        </w:rPr>
        <w:t xml:space="preserve">wania pod warunkiem, iż wysokość dofinansowania lub finansowania zadania publicznego nie przekracza kwoty 10.000,00 zł, a zadanie publiczne będzie realizowane w okresie nie dłuższym niż 90 dni. </w:t>
      </w:r>
    </w:p>
    <w:p w:rsidR="006B6AD6" w:rsidRDefault="00785463">
      <w:pPr>
        <w:pStyle w:val="Normal0"/>
        <w:spacing w:before="120" w:after="120"/>
        <w:ind w:firstLine="288"/>
        <w:rPr>
          <w:color w:val="000000"/>
        </w:rPr>
      </w:pPr>
      <w:r>
        <w:rPr>
          <w:color w:val="000000"/>
        </w:rPr>
        <w:t xml:space="preserve">Oferty złożyły: </w:t>
      </w:r>
    </w:p>
    <w:p w:rsidR="006B6AD6" w:rsidRDefault="00785463">
      <w:pPr>
        <w:pStyle w:val="Normal0"/>
        <w:spacing w:before="120" w:after="120"/>
        <w:ind w:left="288" w:hanging="288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Ochotnicza Straż Pożarna w Jeleniu z sied</w:t>
      </w:r>
      <w:r>
        <w:rPr>
          <w:color w:val="000000"/>
        </w:rPr>
        <w:t>zibą w Jeleniu na realizację w okresie od 1 sierpnia do 30 września 2017 r. zadania publicznego pod nazwą: Turniej Siatkówki Plażowej na otwarcie nowego boiska. Całkowity kosz</w:t>
      </w:r>
      <w:r>
        <w:rPr>
          <w:color w:val="000000"/>
          <w:lang w:bidi="pl-PL"/>
        </w:rPr>
        <w:t>t</w:t>
      </w:r>
      <w:r>
        <w:rPr>
          <w:color w:val="000000"/>
        </w:rPr>
        <w:t xml:space="preserve"> realizacji zadania wynosi 1.300,00 zł, w tym do poniesienia z wnioskowanej dota</w:t>
      </w:r>
      <w:r>
        <w:rPr>
          <w:color w:val="000000"/>
        </w:rPr>
        <w:t xml:space="preserve">cji – 1.100,00 zł. W ramach realizacji zadania na nowo wybudowanym boisku przeprowadzone zostaną otwarte rozgrywki sportowe tzw. Turniej Siatkówki Plażowej. </w:t>
      </w:r>
    </w:p>
    <w:p w:rsidR="006B6AD6" w:rsidRDefault="00785463">
      <w:pPr>
        <w:pStyle w:val="Normal0"/>
        <w:spacing w:before="120" w:after="120"/>
        <w:ind w:left="288" w:hanging="288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Uczniowski Klub Sportowy Gminy Pelplin „Tenisista” Rudno z siedzibą w Rudnie na realizację w </w:t>
      </w:r>
      <w:r>
        <w:rPr>
          <w:color w:val="000000"/>
        </w:rPr>
        <w:t>okresie od 1 do 9 sierpnia 2017 r. zadania publicznego pod nazwą: Sport i turystyka dzieci w okresie wakacyjnym. Całkowity kosz</w:t>
      </w:r>
      <w:r>
        <w:rPr>
          <w:color w:val="000000"/>
          <w:lang w:bidi="pl-PL"/>
        </w:rPr>
        <w:t>t</w:t>
      </w:r>
      <w:r>
        <w:rPr>
          <w:color w:val="000000"/>
        </w:rPr>
        <w:t xml:space="preserve"> realizacji zadania wynosi 2.094,00 zł, w tym do poniesienia z wnioskowanej dotacji – 1.100,00 zł. W ramach realizacji zadania o</w:t>
      </w:r>
      <w:r>
        <w:rPr>
          <w:color w:val="000000"/>
        </w:rPr>
        <w:t>ferent planuje zorganizować wakacyjny (9-dniowy) obóz wyjazdowo-dochodzeniowy dla 22 dzieci w wieku do 12 r. ż. z celami ukierunkowanymi na ogólny rozwój fizyczny i czynny wypoczynek w ramach zajęć z tenisa stołowego i piłki nożnej.</w:t>
      </w:r>
    </w:p>
    <w:p w:rsidR="006B6AD6" w:rsidRDefault="00785463">
      <w:pPr>
        <w:pStyle w:val="Normal0"/>
        <w:spacing w:before="120" w:after="120"/>
        <w:ind w:firstLine="288"/>
        <w:rPr>
          <w:color w:val="000000"/>
        </w:rPr>
      </w:pPr>
      <w:r>
        <w:rPr>
          <w:color w:val="000000"/>
        </w:rPr>
        <w:t>Złożone oferty spełniaj</w:t>
      </w:r>
      <w:r>
        <w:rPr>
          <w:color w:val="000000"/>
        </w:rPr>
        <w:t>ą warunki określone w art. 19a ww. ustawy. Zadania są zbieżne z priorytetowymi zadaniami publicznymi określonymi w programie współpracy na bieżący rok, a ich realizacja jest pożądana. Jednakże, z uwagi na ograniczone środki finansowe (</w:t>
      </w:r>
      <w:r>
        <w:rPr>
          <w:color w:val="000000"/>
          <w:lang w:bidi="pl-PL"/>
        </w:rPr>
        <w:t>dostępna jest</w:t>
      </w:r>
      <w:r>
        <w:rPr>
          <w:color w:val="000000"/>
        </w:rPr>
        <w:t xml:space="preserve"> </w:t>
      </w:r>
      <w:r>
        <w:rPr>
          <w:color w:val="000000"/>
          <w:lang w:bidi="pl-PL"/>
        </w:rPr>
        <w:t>kwota</w:t>
      </w:r>
      <w:r>
        <w:rPr>
          <w:color w:val="000000"/>
        </w:rPr>
        <w:t xml:space="preserve"> 1</w:t>
      </w:r>
      <w:r>
        <w:rPr>
          <w:color w:val="000000"/>
        </w:rPr>
        <w:t>.100,</w:t>
      </w:r>
      <w:r>
        <w:rPr>
          <w:color w:val="000000"/>
          <w:lang w:bidi="pl-PL"/>
        </w:rPr>
        <w:t>16</w:t>
      </w:r>
      <w:r>
        <w:rPr>
          <w:color w:val="000000"/>
        </w:rPr>
        <w:t xml:space="preserve"> zł powstał</w:t>
      </w:r>
      <w:r>
        <w:rPr>
          <w:color w:val="000000"/>
          <w:lang w:bidi="pl-PL"/>
        </w:rPr>
        <w:t>a</w:t>
      </w:r>
      <w:r>
        <w:rPr>
          <w:color w:val="000000"/>
        </w:rPr>
        <w:t xml:space="preserve"> na skutek zmniejszenia zakresu rzeczowego jednego z zadań zakwalifikowan</w:t>
      </w:r>
      <w:r>
        <w:rPr>
          <w:color w:val="000000"/>
          <w:lang w:bidi="pl-PL"/>
        </w:rPr>
        <w:t>ych</w:t>
      </w:r>
      <w:r>
        <w:rPr>
          <w:color w:val="000000"/>
        </w:rPr>
        <w:t xml:space="preserve"> do dofinansowania w bieżącym roku)</w:t>
      </w:r>
      <w:r>
        <w:rPr>
          <w:color w:val="000000"/>
          <w:lang w:bidi="pl-PL"/>
        </w:rPr>
        <w:t>,</w:t>
      </w:r>
      <w:r>
        <w:rPr>
          <w:color w:val="000000"/>
        </w:rPr>
        <w:t xml:space="preserve"> Zarząd Powiatu Tczewskiego uznał za celową realizację zadania </w:t>
      </w:r>
      <w:r>
        <w:rPr>
          <w:color w:val="000000"/>
          <w:lang w:bidi="pl-PL"/>
        </w:rPr>
        <w:t>pn.</w:t>
      </w:r>
      <w:r>
        <w:rPr>
          <w:color w:val="000000"/>
        </w:rPr>
        <w:t xml:space="preserve"> Turniej Siatkówki Plażowej na otwarcie nowego boiska. Real</w:t>
      </w:r>
      <w:r>
        <w:rPr>
          <w:color w:val="000000"/>
        </w:rPr>
        <w:t xml:space="preserve">izacja zadania będzie miała pozytywny wpływ na propagowanie kultury fizycznej wśród mieszkańców powiatu oraz przyczyni się do promocji nowego obiektu sportowego. </w:t>
      </w:r>
    </w:p>
    <w:p w:rsidR="006B6AD6" w:rsidRDefault="00785463">
      <w:pPr>
        <w:pStyle w:val="Normal0"/>
        <w:spacing w:before="120" w:after="120"/>
        <w:ind w:firstLine="288"/>
        <w:rPr>
          <w:color w:val="000000"/>
        </w:rPr>
      </w:pPr>
      <w:r>
        <w:rPr>
          <w:color w:val="000000"/>
        </w:rPr>
        <w:t>Natomiast UKS  Gminy Pelplin „Tenisista” Rudno, drugi oferent, w bieżącym roku otrzymał z bud</w:t>
      </w:r>
      <w:r>
        <w:rPr>
          <w:color w:val="000000"/>
        </w:rPr>
        <w:t>żetu Powiatu środki finansowe na działania związane z organizowaniem zajęć i rozgrywek sportowych dla mieszkańców powiatu, w tym  również dla dzieci i młodzieży. Co prawda  wnioskowane zadanie ma odmienny charakter (obóz wakacyjny) jednakże mieszkańcy powi</w:t>
      </w:r>
      <w:r>
        <w:rPr>
          <w:color w:val="000000"/>
        </w:rPr>
        <w:t>atu, w tym dzieci  i młodzież, mają możliwość doskonalenia umiejętności gry w tenisa stołowego poprzez uczestnictwo w innych zajęciach prowadzonych przez tę organizację.</w:t>
      </w:r>
    </w:p>
    <w:p w:rsidR="006B6AD6" w:rsidRDefault="00785463">
      <w:pPr>
        <w:pStyle w:val="Normal0"/>
        <w:spacing w:before="120" w:after="120"/>
        <w:ind w:firstLine="288"/>
        <w:rPr>
          <w:color w:val="000000"/>
        </w:rPr>
      </w:pPr>
      <w:r>
        <w:rPr>
          <w:color w:val="000000"/>
        </w:rPr>
        <w:t>W związku z powyższym podjęcie   uchwały jest uzasadnione.</w:t>
      </w:r>
    </w:p>
    <w:sectPr w:rsidR="006B6AD6" w:rsidSect="006B6AD6">
      <w:footerReference w:type="default" r:id="rId9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D6" w:rsidRDefault="006B6AD6" w:rsidP="006B6AD6">
      <w:r>
        <w:separator/>
      </w:r>
    </w:p>
  </w:endnote>
  <w:endnote w:type="continuationSeparator" w:id="0">
    <w:p w:rsidR="006B6AD6" w:rsidRDefault="006B6AD6" w:rsidP="006B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6B6A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B6AD6" w:rsidRDefault="00785463">
          <w:pPr>
            <w:jc w:val="left"/>
            <w:rPr>
              <w:sz w:val="18"/>
            </w:rPr>
          </w:pPr>
          <w:r>
            <w:rPr>
              <w:sz w:val="18"/>
            </w:rPr>
            <w:t>Id: D9503390-ACC1-4356-BCE4-A0C68C70D62F.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B6AD6" w:rsidRDefault="007854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B6A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B6AD6">
            <w:rPr>
              <w:sz w:val="18"/>
            </w:rPr>
            <w:fldChar w:fldCharType="end"/>
          </w:r>
        </w:p>
      </w:tc>
    </w:tr>
  </w:tbl>
  <w:p w:rsidR="006B6AD6" w:rsidRDefault="006B6AD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6B6A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B6AD6" w:rsidRDefault="00785463">
          <w:pPr>
            <w:jc w:val="left"/>
            <w:rPr>
              <w:sz w:val="18"/>
            </w:rPr>
          </w:pPr>
          <w:r>
            <w:rPr>
              <w:sz w:val="18"/>
            </w:rPr>
            <w:t>Id: D9503390-ACC1-4356-BCE4</w:t>
          </w:r>
          <w:r>
            <w:rPr>
              <w:sz w:val="18"/>
            </w:rPr>
            <w:t>-A0C68C70D62F.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B6AD6" w:rsidRDefault="007854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B6A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B6AD6">
            <w:rPr>
              <w:sz w:val="18"/>
            </w:rPr>
            <w:fldChar w:fldCharType="end"/>
          </w:r>
        </w:p>
      </w:tc>
    </w:tr>
  </w:tbl>
  <w:p w:rsidR="006B6AD6" w:rsidRDefault="006B6AD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D6" w:rsidRDefault="006B6AD6" w:rsidP="006B6AD6">
      <w:r>
        <w:separator/>
      </w:r>
    </w:p>
  </w:footnote>
  <w:footnote w:type="continuationSeparator" w:id="0">
    <w:p w:rsidR="006B6AD6" w:rsidRDefault="006B6AD6" w:rsidP="006B6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AD6"/>
    <w:rsid w:val="006B6AD6"/>
    <w:rsid w:val="0078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6AD6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6B6AD6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uznania celowości realizacji zadania publicznego</dc:subject>
  <dc:creator>bsinkiewicz</dc:creator>
  <cp:lastModifiedBy>bciewiertnia</cp:lastModifiedBy>
  <cp:revision>2</cp:revision>
  <dcterms:created xsi:type="dcterms:W3CDTF">2017-05-18T07:42:00Z</dcterms:created>
  <dcterms:modified xsi:type="dcterms:W3CDTF">2017-05-18T07:42:00Z</dcterms:modified>
  <cp:category>Akt prawny</cp:category>
</cp:coreProperties>
</file>