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D4B5B">
      <w:pPr>
        <w:jc w:val="center"/>
        <w:rPr>
          <w:b/>
          <w:caps/>
        </w:rPr>
      </w:pPr>
      <w:r>
        <w:rPr>
          <w:b/>
          <w:caps/>
        </w:rPr>
        <w:t>Uchwała Nr XXVIII/216/2017</w:t>
      </w:r>
      <w:r>
        <w:rPr>
          <w:b/>
          <w:caps/>
        </w:rPr>
        <w:br/>
        <w:t>Rady Powiatu Tczewskiego</w:t>
      </w:r>
    </w:p>
    <w:p w:rsidR="00A77B3E" w:rsidRDefault="000D4B5B">
      <w:pPr>
        <w:spacing w:before="280" w:after="280"/>
        <w:jc w:val="center"/>
        <w:rPr>
          <w:b/>
          <w:caps/>
        </w:rPr>
      </w:pPr>
      <w:r>
        <w:t>z dnia 28 marca 2017 r.</w:t>
      </w:r>
    </w:p>
    <w:p w:rsidR="00A77B3E" w:rsidRDefault="000D4B5B">
      <w:pPr>
        <w:keepNext/>
        <w:spacing w:after="480"/>
        <w:jc w:val="center"/>
        <w:rPr>
          <w:b/>
        </w:rPr>
      </w:pPr>
      <w:r>
        <w:rPr>
          <w:b/>
        </w:rPr>
        <w:t>zmieniająca uchwałę Nr XXIV/178/2016 Rady Powiatu Tczewskiego z dnia 20 grudnia 2016 r. w sprawie przyjęcia wieloletniej prognozy finansowej Powiatu Tczewskiego na lata 2017-2030</w:t>
      </w:r>
    </w:p>
    <w:p w:rsidR="00A77B3E" w:rsidRDefault="000D4B5B">
      <w:pPr>
        <w:keepLines/>
        <w:spacing w:before="120" w:after="120"/>
        <w:ind w:firstLine="227"/>
      </w:pPr>
      <w:r>
        <w:tab/>
        <w:t xml:space="preserve">Na podstawie art. 226, art. 227, art. 231 ustawy z dnia 27 sierpnia 2009 r. o finansach publicznych (Dz. U. z 2016 r. poz. 1870, poz. 1984, poz. 2260, z 2017 r. poz. 191) </w:t>
      </w:r>
      <w:r>
        <w:rPr>
          <w:b/>
        </w:rPr>
        <w:t>Rada Powiatu Tczewskiego</w:t>
      </w:r>
    </w:p>
    <w:p w:rsidR="00A77B3E" w:rsidRDefault="000D4B5B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0D4B5B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XXIV/178/2016 Rady</w:t>
      </w:r>
      <w:r>
        <w:t xml:space="preserve"> Powiatu Tczewskiego z dnia 20 grudnia 2016 r. w sprawie przyjęcia wieloletniej prognozy finansowej Powiatu Tczewskiego na lata 2017-2030, zmienionej uchwałą Nr XXV/193/2017 Rady Powiatu Tczewskiego z dnia 31 stycznia 2017 r., uchwałą Nr XXVII/202/2017 Rad</w:t>
      </w:r>
      <w:r>
        <w:t>y Powiatu Tczewskiego z dnia 28 lutego 2017 r., załączniki Nr 1 i Nr 2 otrzymują brzmienie, jak w załącznikach Nr 1 i Nr 2 do niniejszej uchwały.</w:t>
      </w:r>
    </w:p>
    <w:p w:rsidR="00A77B3E" w:rsidRDefault="000D4B5B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 i podlega ogłoszeniu na tablicy ogłoszeń Starostwa Powiatowego w</w:t>
      </w:r>
      <w:r>
        <w:t> Tczewie. </w:t>
      </w:r>
    </w:p>
    <w:p w:rsidR="00A77B3E" w:rsidRDefault="000D4B5B">
      <w:pPr>
        <w:keepNext/>
        <w:keepLines/>
        <w:spacing w:before="120" w:after="120"/>
        <w:ind w:firstLine="340"/>
      </w:pPr>
    </w:p>
    <w:p w:rsidR="00A77B3E" w:rsidRDefault="000D4B5B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3B177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774" w:rsidRDefault="003B1774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774" w:rsidRDefault="000D4B5B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0D4B5B"/>
    <w:p w:rsidR="00A77B3E" w:rsidRDefault="000D4B5B">
      <w:pPr>
        <w:keepNext/>
        <w:sectPr w:rsidR="00A77B3E">
          <w:footerReference w:type="default" r:id="rId7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3B1774">
      <w:pPr>
        <w:keepNext/>
        <w:spacing w:before="120" w:after="120" w:line="360" w:lineRule="auto"/>
        <w:ind w:left="4535"/>
        <w:jc w:val="left"/>
        <w:sectPr w:rsidR="00A77B3E">
          <w:footerReference w:type="default" r:id="rId8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0D4B5B">
        <w:t>Załącznik nr 1</w:t>
      </w:r>
      <w:r w:rsidR="000D4B5B">
        <w:br/>
        <w:t>do Uchwały Rady Powiatu Tczewskiego Nr XXIV/178/2016 z dnia 20 grudnia 2016 roku</w:t>
      </w:r>
      <w:r w:rsidR="000D4B5B">
        <w:br/>
        <w:t>zmieniony uchwałą Rady Powiatu Tczewskiego Nr XXVIII/216/2017 z dnia 28 ma</w:t>
      </w:r>
      <w:r w:rsidR="000D4B5B">
        <w:t>rca 2017 roku</w:t>
      </w:r>
      <w:r w:rsidR="000D4B5B">
        <w:br/>
      </w:r>
      <w:hyperlink r:id="rId9" w:history="1">
        <w:r w:rsidR="000D4B5B">
          <w:rPr>
            <w:rStyle w:val="Hipercze"/>
            <w:color w:val="auto"/>
            <w:u w:val="none"/>
          </w:rPr>
          <w:t>Zalacznik1.</w:t>
        </w:r>
        <w:proofErr w:type="gramStart"/>
        <w:r w:rsidR="000D4B5B">
          <w:rPr>
            <w:rStyle w:val="Hipercze"/>
            <w:color w:val="auto"/>
            <w:u w:val="none"/>
          </w:rPr>
          <w:t>pdf</w:t>
        </w:r>
      </w:hyperlink>
      <w:proofErr w:type="gramEnd"/>
    </w:p>
    <w:p w:rsidR="00A77B3E" w:rsidRDefault="003B1774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0D4B5B">
        <w:t>Załącznik nr 2</w:t>
      </w:r>
      <w:r w:rsidR="000D4B5B">
        <w:br/>
        <w:t>do Uchwały Rady Powiatu Tczewskiego Nr XXIV/178/2016 z dnia 20 grudnia 2016 roku</w:t>
      </w:r>
      <w:r w:rsidR="000D4B5B">
        <w:br/>
        <w:t>zmieniony uchwałą Rady Powiatu Tczewskiego Nr XXVIII/216/2017 z dnia 28 marca 2017 roku</w:t>
      </w:r>
      <w:r w:rsidR="000D4B5B">
        <w:br/>
      </w:r>
      <w:hyperlink r:id="rId10" w:history="1">
        <w:r w:rsidR="000D4B5B">
          <w:rPr>
            <w:rStyle w:val="Hipercze"/>
            <w:color w:val="auto"/>
            <w:u w:val="none"/>
          </w:rPr>
          <w:t>Zalacznik2.</w:t>
        </w:r>
        <w:proofErr w:type="gramStart"/>
        <w:r w:rsidR="000D4B5B">
          <w:rPr>
            <w:rStyle w:val="Hipercze"/>
            <w:color w:val="auto"/>
            <w:u w:val="none"/>
          </w:rPr>
          <w:t>pdf</w:t>
        </w:r>
      </w:hyperlink>
      <w:proofErr w:type="gramEnd"/>
    </w:p>
    <w:p w:rsidR="00A77B3E" w:rsidRDefault="000D4B5B">
      <w:pPr>
        <w:keepNext/>
        <w:spacing w:before="120" w:after="120" w:line="360" w:lineRule="auto"/>
        <w:ind w:left="4535"/>
        <w:jc w:val="left"/>
        <w:sectPr w:rsidR="00A77B3E">
          <w:footerReference w:type="default" r:id="rId11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3B1774" w:rsidRDefault="000D4B5B">
      <w:pPr>
        <w:pStyle w:val="Normal0"/>
        <w:ind w:left="-360" w:firstLine="708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OBJAŚNIENIA</w:t>
      </w:r>
    </w:p>
    <w:p w:rsidR="003B1774" w:rsidRDefault="003B1774">
      <w:pPr>
        <w:pStyle w:val="Normal0"/>
        <w:jc w:val="both"/>
        <w:rPr>
          <w:shd w:val="clear" w:color="auto" w:fill="FFFFFF"/>
        </w:rPr>
      </w:pPr>
    </w:p>
    <w:p w:rsidR="003B1774" w:rsidRDefault="003B1774">
      <w:pPr>
        <w:pStyle w:val="Normal0"/>
        <w:jc w:val="both"/>
        <w:rPr>
          <w:shd w:val="clear" w:color="auto" w:fill="FFFFFF"/>
        </w:rPr>
      </w:pPr>
    </w:p>
    <w:p w:rsidR="003B1774" w:rsidRDefault="000D4B5B">
      <w:pPr>
        <w:pStyle w:val="Normal0"/>
        <w:ind w:firstLine="708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Zmiany do uchwały Nr XXIV/178/2016 Rady Powiatu Tczewskiego </w:t>
      </w:r>
      <w:r>
        <w:rPr>
          <w:shd w:val="clear" w:color="auto" w:fill="FFFFFF"/>
        </w:rPr>
        <w:br/>
        <w:t xml:space="preserve">z dnia 20 grudnia 2016 r. w sprawie przyjęcia </w:t>
      </w:r>
      <w:r>
        <w:rPr>
          <w:shd w:val="clear" w:color="auto" w:fill="FFFFFF"/>
        </w:rPr>
        <w:t>wieloletniej prognozy finansowej Powiatu Tczewskiego na lata 2017-2030, zmienionej uchwałą Nr XXV/193/2017 Rady Powiatu Tczewskiego z dnia 31 stycznia 2017 r., uchwałą Nr XXVII/202/2017 Rady Powiatu Tczewskiego z dnia 28 lutego 2017 r., dokonuje się w zwią</w:t>
      </w:r>
      <w:r>
        <w:rPr>
          <w:shd w:val="clear" w:color="auto" w:fill="FFFFFF"/>
        </w:rPr>
        <w:t xml:space="preserve">zku z pismem z dnia 20 lutego 2017 roku, złożonym przez Dyrektora Zespołu Szkół Ekonomicznych w Tczewie, pismem z dnia 16 marca 2017 roku, złożonym przez Naczelnika Wydziału Finansów Starostwa Powiatowego w Tczewie oraz pismami z dnia 28 lutego i 14 marca </w:t>
      </w:r>
      <w:r>
        <w:rPr>
          <w:shd w:val="clear" w:color="auto" w:fill="FFFFFF"/>
        </w:rPr>
        <w:t>2017 roku, złożonymi przez Naczelnika Wydziału Inwestycji i Remontów Starostwa Powiatowego w Tczewie.</w:t>
      </w:r>
    </w:p>
    <w:p w:rsidR="003B1774" w:rsidRDefault="003B1774">
      <w:pPr>
        <w:pStyle w:val="Normal0"/>
        <w:ind w:firstLine="708"/>
        <w:jc w:val="both"/>
        <w:rPr>
          <w:shd w:val="clear" w:color="auto" w:fill="FFFFFF"/>
        </w:rPr>
      </w:pPr>
    </w:p>
    <w:p w:rsidR="003B1774" w:rsidRDefault="000D4B5B">
      <w:pPr>
        <w:pStyle w:val="Normal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Ponadto, zaktualizowano załącznik nr 2, dotyczący planowanych przedsięwzięć, i tak:</w:t>
      </w:r>
    </w:p>
    <w:p w:rsidR="003B1774" w:rsidRDefault="000D4B5B">
      <w:pPr>
        <w:pStyle w:val="Akapitzlist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pn.: „Kompleksowa modernizacja energetyczna budynków stanowiących własność Powiatu Tczewskiego”, </w:t>
      </w:r>
    </w:p>
    <w:p w:rsidR="003B1774" w:rsidRDefault="000D4B5B">
      <w:pPr>
        <w:pStyle w:val="Akapitzlist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w zakresie wydatków bieżących: łączne nakłady finansowe zaplanowano na kwotę 365.780 zł., z tego: w roku 2017: kwota 34.600 zł.; w roku 2018: kwota 64.700  zł</w:t>
      </w:r>
      <w:r>
        <w:rPr>
          <w:shd w:val="clear" w:color="auto" w:fill="FFFFFF"/>
        </w:rPr>
        <w:t>.; w roku 2019: kwota 65.700 zł.; w roku 2020: kwota 66.780 zł.; w roku 2021: kwota 67.000 zł., w roku 2022: kwota 67.000 zł.,</w:t>
      </w:r>
    </w:p>
    <w:p w:rsidR="003B1774" w:rsidRDefault="000D4B5B">
      <w:pPr>
        <w:pStyle w:val="Akapitzlist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w zakresie wydatków majątkowych: łączne nakłady finansowe zaplanowano na kwotę 13.161.557 zł., z tego m.in.: w roku 2017: kwota 2</w:t>
      </w:r>
      <w:r>
        <w:rPr>
          <w:shd w:val="clear" w:color="auto" w:fill="FFFFFF"/>
        </w:rPr>
        <w:t>.806.207 zł.; w roku 2018: kwota 1.269.736  zł.; w roku 2019: kwota 1.222.512 zł.; w roku 2020: kwota 1.952.914 zł.; w roku 2021: kwota 2.913.057 zł., w roku 2022: kwota 2.361.715 zł.,</w:t>
      </w:r>
    </w:p>
    <w:p w:rsidR="003B1774" w:rsidRDefault="000D4B5B">
      <w:pPr>
        <w:pStyle w:val="Akapitzlist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pn.: „Poprawa jakości kształcenia zawodowego w szkołach </w:t>
      </w:r>
      <w:proofErr w:type="spellStart"/>
      <w:r>
        <w:rPr>
          <w:shd w:val="clear" w:color="auto" w:fill="FFFFFF"/>
        </w:rPr>
        <w:t>ponadgimnazjaln</w:t>
      </w:r>
      <w:r>
        <w:rPr>
          <w:shd w:val="clear" w:color="auto" w:fill="FFFFFF"/>
        </w:rPr>
        <w:t>ych</w:t>
      </w:r>
      <w:proofErr w:type="spellEnd"/>
      <w:r>
        <w:rPr>
          <w:shd w:val="clear" w:color="auto" w:fill="FFFFFF"/>
        </w:rPr>
        <w:t xml:space="preserve"> Powiatu Tczewskiego – poprzez prace budowlane i doposażenie”, </w:t>
      </w:r>
    </w:p>
    <w:p w:rsidR="003B1774" w:rsidRDefault="000D4B5B">
      <w:pPr>
        <w:pStyle w:val="Akapitzlist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w zakresie wydatków bieżących: łączne nakłady finansowe zaplanowano na kwotę 4.411.961 zł., z tego: w roku 2017: kwota 546.862 zł.; w roku 2018: kwota 2.196.879  zł.; w roku 2019: kwota 1.6</w:t>
      </w:r>
      <w:r>
        <w:rPr>
          <w:shd w:val="clear" w:color="auto" w:fill="FFFFFF"/>
        </w:rPr>
        <w:t xml:space="preserve">68.220 zł.; </w:t>
      </w:r>
    </w:p>
    <w:p w:rsidR="003B1774" w:rsidRDefault="000D4B5B">
      <w:pPr>
        <w:pStyle w:val="Akapitzlist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w zakresie wydatków majątkowych: łączne nakłady finansowe zaplanowano na kwotę 4.144.664 zł., z tego m.in.: w roku 2017: kwota 1.071.318 zł.; w roku 2018: kwota 3.001.403  zł.</w:t>
      </w:r>
    </w:p>
    <w:p w:rsidR="003B1774" w:rsidRDefault="000D4B5B">
      <w:pPr>
        <w:pStyle w:val="Akapitzlist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pn.: „Odśnieżanie i zwalczanie śliskości zimowej dróg powiatowych, </w:t>
      </w:r>
      <w:r>
        <w:rPr>
          <w:shd w:val="clear" w:color="auto" w:fill="FFFFFF"/>
        </w:rPr>
        <w:t>przez Miasto i Gminę Pelplin”, gdzie łączne nakłady finansowe zaplanowano na kwotę 372.805 zł., z tego m.in.: w roku 2017: kwota 127.550 zł.; w roku 2018: kwota 85.000 zł.,</w:t>
      </w:r>
    </w:p>
    <w:p w:rsidR="003B1774" w:rsidRDefault="000D4B5B">
      <w:pPr>
        <w:pStyle w:val="Akapitzlist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pn.: „Odśnieżanie i zwalczanie śliskości zimowej dróg powiatowych, przez Miasto i G</w:t>
      </w:r>
      <w:r>
        <w:rPr>
          <w:shd w:val="clear" w:color="auto" w:fill="FFFFFF"/>
        </w:rPr>
        <w:t>minę Gniew”, gdzie łączne nakłady finansowe zaplanowano na kwotę 928.203 zł., z tego m.in.: w roku 2017: kwota 127.410 zł.; w roku 2018: kwota 105.000 zł.</w:t>
      </w:r>
    </w:p>
    <w:p w:rsidR="003B1774" w:rsidRDefault="003B1774">
      <w:pPr>
        <w:pStyle w:val="Normal0"/>
        <w:ind w:left="360"/>
        <w:jc w:val="both"/>
        <w:rPr>
          <w:shd w:val="clear" w:color="auto" w:fill="FFFFFF"/>
        </w:rPr>
      </w:pPr>
    </w:p>
    <w:p w:rsidR="003B1774" w:rsidRDefault="000D4B5B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oraz  usunięto przedsięwzięcie pn.: „Aktywni i kompetentni – praktyka zagraniczna drogą na rynek pra</w:t>
      </w:r>
      <w:r>
        <w:rPr>
          <w:shd w:val="clear" w:color="auto" w:fill="FFFFFF"/>
        </w:rPr>
        <w:t>cy”.</w:t>
      </w:r>
    </w:p>
    <w:p w:rsidR="003B1774" w:rsidRDefault="003B1774">
      <w:pPr>
        <w:pStyle w:val="Normal0"/>
        <w:jc w:val="both"/>
        <w:rPr>
          <w:shd w:val="clear" w:color="auto" w:fill="FFFFFF"/>
        </w:rPr>
      </w:pPr>
    </w:p>
    <w:p w:rsidR="003B1774" w:rsidRDefault="000D4B5B">
      <w:pPr>
        <w:pStyle w:val="Normal0"/>
        <w:ind w:left="360" w:firstLine="348"/>
        <w:jc w:val="both"/>
        <w:rPr>
          <w:shd w:val="clear" w:color="auto" w:fill="FFFFFF"/>
        </w:rPr>
      </w:pPr>
      <w:r>
        <w:rPr>
          <w:shd w:val="clear" w:color="auto" w:fill="FFFFFF"/>
        </w:rPr>
        <w:t>Dokonano również zmian związanych ze spłatą zadłużenia.</w:t>
      </w:r>
    </w:p>
    <w:p w:rsidR="003B1774" w:rsidRDefault="003B1774">
      <w:pPr>
        <w:pStyle w:val="Normal0"/>
        <w:ind w:left="360" w:firstLine="348"/>
        <w:jc w:val="both"/>
        <w:rPr>
          <w:shd w:val="clear" w:color="auto" w:fill="FFFFFF"/>
        </w:rPr>
      </w:pPr>
    </w:p>
    <w:p w:rsidR="003B1774" w:rsidRDefault="000D4B5B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Dotychczasowa spłata zadłużenia przedstawiała się następująco: </w:t>
      </w:r>
    </w:p>
    <w:p w:rsidR="003B1774" w:rsidRDefault="000D4B5B">
      <w:pPr>
        <w:pStyle w:val="Normal0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roku 2017: kwota 0 zł.; w roku 2018: kwota 0 zł.; w roku 2019: kwota 2.500.000 zł.; w roku 2020: kwota 2.800.000 zł.; w roku </w:t>
      </w:r>
      <w:r>
        <w:rPr>
          <w:shd w:val="clear" w:color="auto" w:fill="FFFFFF"/>
        </w:rPr>
        <w:t xml:space="preserve">2021: kwota 5.200.000 zł.; w roku 2022: kwota 5.300.000 zł.; w roku 2023: kwota 5.500.000 zł.; w roku 2024: kwota 5.600.000 zł.; w roku 2025: kwota 5.700.000 zł.; w roku 2026: kwota 4.700.000 zł., w roku 2027: kwota </w:t>
      </w:r>
      <w:r>
        <w:rPr>
          <w:shd w:val="clear" w:color="auto" w:fill="FFFFFF"/>
        </w:rPr>
        <w:lastRenderedPageBreak/>
        <w:t>4.700.000 zł.; w roku 2028: kwota 4.700.</w:t>
      </w:r>
      <w:r>
        <w:rPr>
          <w:shd w:val="clear" w:color="auto" w:fill="FFFFFF"/>
        </w:rPr>
        <w:t>000 zł., w roku 2029: kwota 4.700.000 zł.; w roku 2030: kwota 2.600.000 zł.,</w:t>
      </w:r>
    </w:p>
    <w:p w:rsidR="003B1774" w:rsidRDefault="003B1774">
      <w:pPr>
        <w:pStyle w:val="Normal0"/>
        <w:jc w:val="both"/>
        <w:rPr>
          <w:shd w:val="clear" w:color="auto" w:fill="FFFFFF"/>
        </w:rPr>
      </w:pPr>
    </w:p>
    <w:p w:rsidR="003B1774" w:rsidRDefault="000D4B5B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natomiast po zmianach spłata zadłużenia przedstawia się następująco: </w:t>
      </w:r>
    </w:p>
    <w:p w:rsidR="003B1774" w:rsidRDefault="000D4B5B">
      <w:pPr>
        <w:pStyle w:val="Normal0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>w roku 2017: kwota 0 zł.; w roku 2018: kwota 0 zł.; w roku 2019: kwota 2.500.000 zł.; w roku 2020: kwota 2.8</w:t>
      </w:r>
      <w:r>
        <w:rPr>
          <w:shd w:val="clear" w:color="auto" w:fill="FFFFFF"/>
        </w:rPr>
        <w:t>00.000 zł.; w roku 2021: kwota 5.200.000 zł.; w roku 2022: kwota 5.300.000 zł.; w roku 2023: kwota 5.500.000 zł.; w roku 2024: kwota 5.600.000 zł.; w roku 2025: kwota 5.700.000 zł.; w roku 2026: kwota 4.700.000 zł., w roku 2027: kwota 4.700.000 zł.; w roku</w:t>
      </w:r>
      <w:r>
        <w:rPr>
          <w:shd w:val="clear" w:color="auto" w:fill="FFFFFF"/>
        </w:rPr>
        <w:t xml:space="preserve"> 2028: kwota 4.700.000 zł., w roku 2029: kwota 4.300.000 zł.; w roku 2030: kwota 1.600.000 zł.</w:t>
      </w:r>
    </w:p>
    <w:p w:rsidR="003B1774" w:rsidRDefault="003B1774">
      <w:pPr>
        <w:pStyle w:val="Normal0"/>
        <w:ind w:left="360"/>
        <w:jc w:val="both"/>
        <w:rPr>
          <w:shd w:val="clear" w:color="auto" w:fill="FFFFFF"/>
        </w:rPr>
      </w:pPr>
    </w:p>
    <w:p w:rsidR="003B1774" w:rsidRDefault="000D4B5B">
      <w:pPr>
        <w:pStyle w:val="Normal0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>W związku z powyższym podjęcie uchwały jest zasadne.</w:t>
      </w:r>
    </w:p>
    <w:p w:rsidR="003B1774" w:rsidRDefault="003B1774">
      <w:pPr>
        <w:pStyle w:val="Normal0"/>
        <w:ind w:firstLine="708"/>
        <w:jc w:val="both"/>
        <w:rPr>
          <w:sz w:val="24"/>
          <w:shd w:val="clear" w:color="auto" w:fill="FFFFFF"/>
        </w:rPr>
        <w:sectPr w:rsidR="003B1774">
          <w:footerReference w:type="default" r:id="rId12"/>
          <w:pgSz w:w="11906" w:h="16838"/>
          <w:pgMar w:top="1418" w:right="1418" w:bottom="1418" w:left="1985" w:header="709" w:footer="709" w:gutter="0"/>
          <w:pgNumType w:start="1"/>
          <w:cols w:space="720"/>
        </w:sectPr>
      </w:pPr>
      <w:r>
        <w:rPr>
          <w:sz w:val="24"/>
          <w:shd w:val="clear" w:color="auto" w:fill="FFFFFF"/>
        </w:rPr>
        <w:fldChar w:fldCharType="begin"/>
      </w:r>
      <w:r>
        <w:rPr>
          <w:sz w:val="24"/>
          <w:shd w:val="clear" w:color="auto" w:fill="FFFFFF"/>
        </w:rPr>
        <w:fldChar w:fldCharType="end"/>
      </w:r>
    </w:p>
    <w:p w:rsidR="003B1774" w:rsidRDefault="003B1774">
      <w:pPr>
        <w:pStyle w:val="Normal1"/>
      </w:pPr>
    </w:p>
    <w:p w:rsidR="003B1774" w:rsidRDefault="000D4B5B">
      <w:pPr>
        <w:pStyle w:val="Normal1"/>
        <w:jc w:val="center"/>
      </w:pPr>
      <w:r>
        <w:rPr>
          <w:b/>
        </w:rPr>
        <w:t>Uzasadnienie</w:t>
      </w:r>
    </w:p>
    <w:p w:rsidR="003B1774" w:rsidRDefault="000D4B5B">
      <w:pPr>
        <w:pStyle w:val="Normal1"/>
        <w:spacing w:before="120" w:after="120"/>
        <w:ind w:firstLine="227"/>
      </w:pPr>
      <w:r>
        <w:t>W myśl przepisów ustawy z dnia 27 sierpnia 2009 roku o finansach publicznych, jednostki samorządu terytorialnego zobowiązane zostały do tworzenia nowego dokumentu określającego ramy prowadzonej polityki finansowej w perspektywie dłuższej niż r</w:t>
      </w:r>
      <w:r>
        <w:t>ok. Dokumentem tym, przybierającym postać uchwały, jest Wieloletnia Prognoza Finansowa. W Powiecie Tczewskim od dnia 20 grudnia 2016 r. obowiązuje uchwała Nr  XXIV/78/2016 Rady Powiatu Tczewskiego w sprawie przyjęcia wieloletniej prognozy finansowej Powiat</w:t>
      </w:r>
      <w:r>
        <w:t>u Tczewskiego na lata 2017-2030, zmieniona uchwałą Nr XXV/193/2017 Rady Powiatu Tczewskiego z dnia 31 stycznia 2017 r., uchwałą Nr XXVII/202/2017 Rady Powiatu Tczewskiego z dnia 28 lutego 2017 r.</w:t>
      </w:r>
    </w:p>
    <w:p w:rsidR="003B1774" w:rsidRDefault="000D4B5B">
      <w:pPr>
        <w:pStyle w:val="Normal1"/>
        <w:spacing w:before="120" w:after="120"/>
        <w:ind w:firstLine="227"/>
      </w:pPr>
      <w:r>
        <w:t xml:space="preserve">W myśl art. 229 ustawy z dnia 27 sierpnia 2009 roku </w:t>
      </w:r>
      <w:r>
        <w:t>o finansach publicznych, wartości przyjęte w wieloletniej prognozie finansowej i budżecie jednostki samorządu terytorialnego powinny być zgodne co najmniej w zakresie wyniku budżetu</w:t>
      </w:r>
      <w:r>
        <w:rPr>
          <w:lang w:bidi="pl-PL"/>
        </w:rPr>
        <w:t xml:space="preserve"> </w:t>
      </w:r>
      <w:r>
        <w:t>i związanych z nim kwot przychodów i rozchodów oraz długu jednostki samorz</w:t>
      </w:r>
      <w:r>
        <w:t>ądu terytorialnego.</w:t>
      </w:r>
    </w:p>
    <w:p w:rsidR="003B1774" w:rsidRDefault="000D4B5B">
      <w:pPr>
        <w:pStyle w:val="Normal1"/>
        <w:spacing w:before="120" w:after="120"/>
        <w:ind w:firstLine="227"/>
      </w:pPr>
      <w:r>
        <w:t>W związku z powyższym podjęcie uchwały jest zasadne.</w:t>
      </w:r>
    </w:p>
    <w:sectPr w:rsidR="003B1774" w:rsidSect="003B1774">
      <w:footerReference w:type="default" r:id="rId13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74" w:rsidRDefault="003B1774" w:rsidP="003B1774">
      <w:r>
        <w:separator/>
      </w:r>
    </w:p>
  </w:endnote>
  <w:endnote w:type="continuationSeparator" w:id="0">
    <w:p w:rsidR="003B1774" w:rsidRDefault="003B1774" w:rsidP="003B1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53"/>
      <w:gridCol w:w="1429"/>
    </w:tblGrid>
    <w:tr w:rsidR="003B177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B1774" w:rsidRDefault="000D4B5B">
          <w:pPr>
            <w:jc w:val="left"/>
            <w:rPr>
              <w:sz w:val="18"/>
            </w:rPr>
          </w:pPr>
          <w:r>
            <w:rPr>
              <w:sz w:val="18"/>
            </w:rPr>
            <w:t>Id: 70FDCBB5-FDA6-4BFC-86A7-C06DC0A64DC4.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B1774" w:rsidRDefault="000D4B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B177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3B1774">
            <w:rPr>
              <w:sz w:val="18"/>
            </w:rPr>
            <w:fldChar w:fldCharType="end"/>
          </w:r>
        </w:p>
      </w:tc>
    </w:tr>
  </w:tbl>
  <w:p w:rsidR="003B1774" w:rsidRDefault="003B177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53"/>
      <w:gridCol w:w="1429"/>
    </w:tblGrid>
    <w:tr w:rsidR="003B177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B1774" w:rsidRDefault="000D4B5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70FDCBB5-FDA6-4BFC-86A7-C06DC0A64DC4.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B1774" w:rsidRDefault="000D4B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B177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3B1774">
            <w:rPr>
              <w:sz w:val="18"/>
            </w:rPr>
            <w:fldChar w:fldCharType="end"/>
          </w:r>
        </w:p>
      </w:tc>
    </w:tr>
  </w:tbl>
  <w:p w:rsidR="003B1774" w:rsidRDefault="003B177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53"/>
      <w:gridCol w:w="1429"/>
    </w:tblGrid>
    <w:tr w:rsidR="003B177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B1774" w:rsidRDefault="000D4B5B">
          <w:pPr>
            <w:jc w:val="left"/>
            <w:rPr>
              <w:sz w:val="18"/>
            </w:rPr>
          </w:pPr>
          <w:r>
            <w:rPr>
              <w:sz w:val="18"/>
            </w:rPr>
            <w:t>Id: 70FDCBB5-FDA6-4BFC-86A7-C06DC0A64DC4.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B1774" w:rsidRDefault="000D4B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B177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3B1774">
            <w:rPr>
              <w:sz w:val="18"/>
            </w:rPr>
            <w:fldChar w:fldCharType="end"/>
          </w:r>
        </w:p>
      </w:tc>
    </w:tr>
  </w:tbl>
  <w:p w:rsidR="003B1774" w:rsidRDefault="003B1774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83"/>
      <w:gridCol w:w="1236"/>
    </w:tblGrid>
    <w:tr w:rsidR="003B177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B1774" w:rsidRDefault="000D4B5B">
          <w:pPr>
            <w:jc w:val="left"/>
            <w:rPr>
              <w:sz w:val="18"/>
            </w:rPr>
          </w:pPr>
          <w:r>
            <w:rPr>
              <w:sz w:val="18"/>
            </w:rPr>
            <w:t>Id: 70FDCBB5-FDA6-4BFC-86A7-C06DC0A64DC4.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B1774" w:rsidRDefault="000D4B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B177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3B1774">
            <w:rPr>
              <w:sz w:val="18"/>
            </w:rPr>
            <w:fldChar w:fldCharType="end"/>
          </w:r>
        </w:p>
      </w:tc>
    </w:tr>
  </w:tbl>
  <w:p w:rsidR="003B1774" w:rsidRDefault="003B1774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53"/>
      <w:gridCol w:w="1429"/>
    </w:tblGrid>
    <w:tr w:rsidR="003B177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B1774" w:rsidRDefault="000D4B5B">
          <w:pPr>
            <w:jc w:val="left"/>
            <w:rPr>
              <w:sz w:val="18"/>
            </w:rPr>
          </w:pPr>
          <w:r>
            <w:rPr>
              <w:sz w:val="18"/>
            </w:rPr>
            <w:t>Id: 70FDCBB5-FDA6-4BFC-86A7-C06DC0A64DC4.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B1774" w:rsidRDefault="000D4B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B177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="003B1774">
            <w:rPr>
              <w:sz w:val="18"/>
            </w:rPr>
            <w:fldChar w:fldCharType="end"/>
          </w:r>
        </w:p>
      </w:tc>
    </w:tr>
  </w:tbl>
  <w:p w:rsidR="003B1774" w:rsidRDefault="003B177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74" w:rsidRDefault="003B1774" w:rsidP="003B1774">
      <w:r>
        <w:separator/>
      </w:r>
    </w:p>
  </w:footnote>
  <w:footnote w:type="continuationSeparator" w:id="0">
    <w:p w:rsidR="003B1774" w:rsidRDefault="003B1774" w:rsidP="003B1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5AB2F26E">
      <w:start w:val="1"/>
      <w:numFmt w:val="bullet"/>
      <w:lvlText w:val="-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F4782F2A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B0309BB6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44BA1408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E9389496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E3F27DE6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7CDEB222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66EE5256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22243960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0"/>
    <w:lvl w:ilvl="0" w:tplc="50DEC260">
      <w:start w:val="3"/>
      <w:numFmt w:val="bullet"/>
      <w:lvlText w:val="-"/>
      <w:lvlJc w:val="left"/>
      <w:pPr>
        <w:spacing w:beforeAutospacing="0" w:after="0" w:afterAutospacing="0" w:line="240" w:lineRule="auto"/>
        <w:ind w:left="1080" w:hanging="360"/>
      </w:pPr>
    </w:lvl>
    <w:lvl w:ilvl="1" w:tplc="55562CDA">
      <w:start w:val="1"/>
      <w:numFmt w:val="bullet"/>
      <w:lvlText w:val="o"/>
      <w:lvlJc w:val="left"/>
      <w:pPr>
        <w:spacing w:beforeAutospacing="0" w:after="0" w:afterAutospacing="0" w:line="240" w:lineRule="auto"/>
        <w:ind w:left="1800" w:hanging="360"/>
      </w:pPr>
      <w:rPr>
        <w:rFonts w:ascii="Courier New" w:hAnsi="Courier New"/>
      </w:rPr>
    </w:lvl>
    <w:lvl w:ilvl="2" w:tplc="0D0CD69C">
      <w:start w:val="1"/>
      <w:numFmt w:val="bullet"/>
      <w:lvlText w:val="§"/>
      <w:lvlJc w:val="left"/>
      <w:pPr>
        <w:spacing w:beforeAutospacing="0" w:after="0" w:afterAutospacing="0" w:line="240" w:lineRule="auto"/>
        <w:ind w:left="2520" w:hanging="360"/>
      </w:pPr>
      <w:rPr>
        <w:rFonts w:ascii="Wingdings" w:hAnsi="Wingdings"/>
      </w:rPr>
    </w:lvl>
    <w:lvl w:ilvl="3" w:tplc="B2444E40">
      <w:start w:val="1"/>
      <w:numFmt w:val="bullet"/>
      <w:lvlText w:val="·"/>
      <w:lvlJc w:val="left"/>
      <w:pPr>
        <w:spacing w:beforeAutospacing="0" w:after="0" w:afterAutospacing="0" w:line="240" w:lineRule="auto"/>
        <w:ind w:left="3240" w:hanging="360"/>
      </w:pPr>
      <w:rPr>
        <w:rFonts w:ascii="Symbol" w:hAnsi="Symbol"/>
      </w:rPr>
    </w:lvl>
    <w:lvl w:ilvl="4" w:tplc="49522F82">
      <w:start w:val="1"/>
      <w:numFmt w:val="bullet"/>
      <w:lvlText w:val="o"/>
      <w:lvlJc w:val="left"/>
      <w:pPr>
        <w:spacing w:beforeAutospacing="0" w:after="0" w:afterAutospacing="0" w:line="240" w:lineRule="auto"/>
        <w:ind w:left="3960" w:hanging="360"/>
      </w:pPr>
      <w:rPr>
        <w:rFonts w:ascii="Courier New" w:hAnsi="Courier New"/>
      </w:rPr>
    </w:lvl>
    <w:lvl w:ilvl="5" w:tplc="F9667002">
      <w:start w:val="1"/>
      <w:numFmt w:val="bullet"/>
      <w:lvlText w:val="§"/>
      <w:lvlJc w:val="left"/>
      <w:pPr>
        <w:spacing w:beforeAutospacing="0" w:after="0" w:afterAutospacing="0" w:line="240" w:lineRule="auto"/>
        <w:ind w:left="4680" w:hanging="360"/>
      </w:pPr>
      <w:rPr>
        <w:rFonts w:ascii="Wingdings" w:hAnsi="Wingdings"/>
      </w:rPr>
    </w:lvl>
    <w:lvl w:ilvl="6" w:tplc="93E8D292">
      <w:start w:val="1"/>
      <w:numFmt w:val="bullet"/>
      <w:lvlText w:val="·"/>
      <w:lvlJc w:val="left"/>
      <w:pPr>
        <w:spacing w:beforeAutospacing="0" w:after="0" w:afterAutospacing="0" w:line="240" w:lineRule="auto"/>
        <w:ind w:left="5400" w:hanging="360"/>
      </w:pPr>
      <w:rPr>
        <w:rFonts w:ascii="Symbol" w:hAnsi="Symbol"/>
      </w:rPr>
    </w:lvl>
    <w:lvl w:ilvl="7" w:tplc="DBCA57DC">
      <w:start w:val="1"/>
      <w:numFmt w:val="bullet"/>
      <w:lvlText w:val="o"/>
      <w:lvlJc w:val="left"/>
      <w:pPr>
        <w:spacing w:beforeAutospacing="0" w:after="0" w:afterAutospacing="0" w:line="240" w:lineRule="auto"/>
        <w:ind w:left="6120" w:hanging="360"/>
      </w:pPr>
      <w:rPr>
        <w:rFonts w:ascii="Courier New" w:hAnsi="Courier New"/>
      </w:rPr>
    </w:lvl>
    <w:lvl w:ilvl="8" w:tplc="13923BCE">
      <w:start w:val="1"/>
      <w:numFmt w:val="bullet"/>
      <w:lvlText w:val="§"/>
      <w:lvlJc w:val="left"/>
      <w:pPr>
        <w:spacing w:beforeAutospacing="0" w:after="0" w:afterAutospacing="0" w:line="240" w:lineRule="auto"/>
        <w:ind w:left="684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0"/>
    <w:lvl w:ilvl="0" w:tplc="AE72CB98">
      <w:start w:val="1"/>
      <w:numFmt w:val="bullet"/>
      <w:lvlText w:val="-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16425786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216EC8FE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3F54EFEC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BF442FEC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BBEC01B2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868C302C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6F70B784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D60870C0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774"/>
    <w:rsid w:val="000D4B5B"/>
    <w:rsid w:val="003B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177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sid w:val="003B1774"/>
    <w:rPr>
      <w:color w:val="000000"/>
      <w:sz w:val="22"/>
    </w:rPr>
  </w:style>
  <w:style w:type="paragraph" w:styleId="Akapitzlist">
    <w:name w:val="List Paragraph"/>
    <w:basedOn w:val="Normal0"/>
    <w:rsid w:val="003B1774"/>
    <w:pPr>
      <w:ind w:left="720"/>
      <w:contextualSpacing/>
    </w:pPr>
    <w:rPr>
      <w:sz w:val="24"/>
    </w:rPr>
  </w:style>
  <w:style w:type="paragraph" w:customStyle="1" w:styleId="Normal1">
    <w:name w:val="Normal_1"/>
    <w:qFormat/>
    <w:rsid w:val="003B1774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pkata\AppData\Local\Temp\Legislator\8A99623B-6225-4B1A-889E-11192755DB1D\Zalacznik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kata\AppData\Local\Temp\Legislator\8A99623B-6225-4B1A-889E-11192755DB1D\Zalacznik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XXVIII/216/2017 z dnia 28 marca 2017 r.</dc:title>
  <dc:subject>zmieniająca uchwałę Nr XXIV/178/2016 Rady Powiatu Tczewskiego z^dnia 20^grudnia 2016^r. w^sprawie przyjęcia wieloletniej prognozy finansowej Powiatu Tczewskiego na lata 2017-2030</dc:subject>
  <dc:creator>pkata</dc:creator>
  <cp:lastModifiedBy>pkata</cp:lastModifiedBy>
  <cp:revision>2</cp:revision>
  <dcterms:created xsi:type="dcterms:W3CDTF">2017-04-03T08:07:00Z</dcterms:created>
  <dcterms:modified xsi:type="dcterms:W3CDTF">2017-04-03T08:07:00Z</dcterms:modified>
  <cp:category>Akt prawny</cp:category>
</cp:coreProperties>
</file>