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C42C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FC42CD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FC42CD" w:rsidRDefault="00FC42CD" w:rsidP="00FC42CD">
      <w:pPr>
        <w:keepNext/>
        <w:spacing w:after="480"/>
        <w:jc w:val="center"/>
        <w:rPr>
          <w:b/>
        </w:rPr>
      </w:pPr>
      <w:r>
        <w:rPr>
          <w:b/>
        </w:rPr>
        <w:t>w sprawie określenia zasad realizacji pilotażowego programu „Aktywny samorząd ”</w:t>
      </w:r>
    </w:p>
    <w:p w:rsidR="00A77B3E" w:rsidRPr="00FC42CD" w:rsidRDefault="00FC42CD" w:rsidP="00FC42CD">
      <w:pPr>
        <w:keepNext/>
        <w:spacing w:after="480"/>
        <w:jc w:val="center"/>
        <w:rPr>
          <w:b/>
        </w:rPr>
      </w:pPr>
      <w:r>
        <w:t xml:space="preserve">Na podstawie art. 32 ust. 1 ustawy z dnia 5 czerwca 1998 r. o samorządzie </w:t>
      </w:r>
      <w:r>
        <w:t xml:space="preserve">powiatowym (Dz. U. z 2016 r. poz. 2046), w związku z uchwałą Nr XXIII/144/12 Rady Powiatu Tczewskiego z dnia 29 maja 2012 r. w sprawie przystąpienia do realizacji programu pn. „Aktywny samorząd”, </w:t>
      </w:r>
      <w:r>
        <w:rPr>
          <w:b/>
        </w:rPr>
        <w:t>Zarząd Powiatu Tczewskiego</w:t>
      </w:r>
      <w:r>
        <w:t xml:space="preserve">, przy udziale niżej wymienionych </w:t>
      </w:r>
      <w:r>
        <w:t>członków Zarządu:</w:t>
      </w:r>
    </w:p>
    <w:p w:rsidR="00A77B3E" w:rsidRDefault="00FC42CD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  <w:t>– Starosty Tczewskiego</w:t>
      </w:r>
    </w:p>
    <w:p w:rsidR="00A77B3E" w:rsidRDefault="00FC42CD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  <w:t>– Wicestarosty</w:t>
      </w:r>
    </w:p>
    <w:p w:rsidR="00A77B3E" w:rsidRDefault="00FC42CD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  <w:t>– Członka Zarządu</w:t>
      </w:r>
    </w:p>
    <w:p w:rsidR="00A77B3E" w:rsidRDefault="00FC42CD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  <w:t>– Członka Zarządu</w:t>
      </w:r>
    </w:p>
    <w:p w:rsidR="00A77B3E" w:rsidRDefault="00FC42CD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  <w:t>– Członka Zarządu</w:t>
      </w:r>
    </w:p>
    <w:p w:rsidR="00A77B3E" w:rsidRDefault="00FC42CD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C42CD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 Z</w:t>
      </w:r>
      <w:r>
        <w:t>adania wynikające z przystąpienia Powiatu Tczewskiego do realizacji pilotażowego programu „Aktywny samorząd”, zwanego dalej Programem, powierza się Wydziałowi Zdrowia, Spraw Społecznych i PFRON.</w:t>
      </w:r>
    </w:p>
    <w:p w:rsidR="00A77B3E" w:rsidRDefault="00FC42CD">
      <w:pPr>
        <w:keepLines/>
        <w:spacing w:before="120" w:after="120"/>
        <w:ind w:firstLine="340"/>
      </w:pPr>
      <w:r>
        <w:t>2. </w:t>
      </w:r>
      <w:r>
        <w:t xml:space="preserve">Przyjmuje się Regulamin Realizatora pilotażowego programu </w:t>
      </w:r>
      <w:r>
        <w:t>„Aktywny samorząd”, określający zasady przyznania dofinansowania osobom niepełnosprawnym, stanowiący załącznik do uchwały.</w:t>
      </w:r>
    </w:p>
    <w:p w:rsidR="00A77B3E" w:rsidRDefault="00FC42CD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 Wzory wniosków zatwierdzają dwaj członkowie Zarządu Powiatu Tczewskiego lub etatowy członek Zarządu Powiatu Tczewskiego i Na</w:t>
      </w:r>
      <w:r>
        <w:t>czelnik Wydziału Zdrowia, Spraw Społecznych i PFRON.</w:t>
      </w:r>
    </w:p>
    <w:p w:rsidR="00A77B3E" w:rsidRDefault="00FC42CD">
      <w:pPr>
        <w:keepLines/>
        <w:spacing w:before="120" w:after="120"/>
        <w:ind w:firstLine="340"/>
      </w:pPr>
      <w:r>
        <w:t>2. </w:t>
      </w:r>
      <w:r>
        <w:t>Umowy o dofinansowanie w ramach Programu oraz rozliczenia i sprawozdania z realizacji Programu podpisują dwaj członkowie Zarządu Powiatu Tczewskiego lub etatowy członek Zarządu Powiatu Tczewskiego i N</w:t>
      </w:r>
      <w:r>
        <w:t>aczelnik Wydziału Zdrowia, Spraw Społecznych i PFRON.</w:t>
      </w:r>
    </w:p>
    <w:p w:rsidR="00A77B3E" w:rsidRDefault="00FC42CD">
      <w:pPr>
        <w:keepLines/>
        <w:spacing w:before="120" w:after="120"/>
        <w:ind w:firstLine="340"/>
      </w:pPr>
      <w:r>
        <w:rPr>
          <w:b/>
        </w:rPr>
        <w:t>§ 3. </w:t>
      </w:r>
      <w:r>
        <w:t> Wykonanie uchwały powierza się Wydziałowi Zdrowia, Spraw Społecznych i PFRON.</w:t>
      </w:r>
    </w:p>
    <w:p w:rsidR="00A77B3E" w:rsidRDefault="00FC42CD">
      <w:pPr>
        <w:keepLines/>
        <w:spacing w:before="120" w:after="120"/>
        <w:ind w:firstLine="340"/>
      </w:pPr>
      <w:r>
        <w:rPr>
          <w:b/>
        </w:rPr>
        <w:t>§ 4. </w:t>
      </w:r>
      <w:r>
        <w:t>Z dniem 16 kwietnia 2017 r. traci moc uchwała nr 63/204/2016 Zarządu Powiatu Tczewskiego z dnia 4 marca 2016 roku</w:t>
      </w:r>
      <w:r>
        <w:t xml:space="preserve"> w sprawie określenia zasad realizacji pilotażowego programu „Aktywny samorząd”. Uchwała do utraty mocy obowiązującej ma zastosowanie jedynie do wniosków składanych o dofinansowanie ze środków PFRON na zasadach obowiązujących w 2016 roku.</w:t>
      </w:r>
    </w:p>
    <w:p w:rsidR="00A77B3E" w:rsidRDefault="00FC42CD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</w:t>
      </w:r>
      <w:r>
        <w:t>dzi w życie z dniem podjęcia.</w:t>
      </w:r>
    </w:p>
    <w:p w:rsidR="00A77B3E" w:rsidRDefault="00FC42CD">
      <w:pPr>
        <w:spacing w:before="360" w:after="360"/>
        <w:ind w:left="283" w:firstLine="227"/>
        <w:jc w:val="right"/>
      </w:pPr>
      <w:r>
        <w:t>......................................................</w:t>
      </w:r>
    </w:p>
    <w:p w:rsidR="00A77B3E" w:rsidRDefault="00FC42CD">
      <w:pPr>
        <w:spacing w:before="360" w:after="360"/>
        <w:ind w:left="283" w:firstLine="227"/>
        <w:jc w:val="right"/>
      </w:pPr>
      <w:r>
        <w:t>......................................................</w:t>
      </w:r>
    </w:p>
    <w:p w:rsidR="00A77B3E" w:rsidRDefault="00FC42CD">
      <w:pPr>
        <w:spacing w:before="360" w:after="360"/>
        <w:ind w:left="283" w:firstLine="227"/>
        <w:jc w:val="right"/>
      </w:pPr>
      <w:r>
        <w:t>.....................................................</w:t>
      </w:r>
    </w:p>
    <w:p w:rsidR="00A77B3E" w:rsidRDefault="00FC42CD">
      <w:pPr>
        <w:spacing w:before="360" w:after="360"/>
        <w:ind w:left="283" w:firstLine="227"/>
        <w:jc w:val="right"/>
      </w:pPr>
      <w:r>
        <w:t>.....................................................</w:t>
      </w:r>
    </w:p>
    <w:p w:rsidR="00A77B3E" w:rsidRDefault="00FC42CD">
      <w:pPr>
        <w:spacing w:before="360" w:after="360"/>
        <w:ind w:left="283" w:firstLine="227"/>
        <w:jc w:val="right"/>
        <w:sectPr w:rsidR="00A77B3E">
          <w:footerReference w:type="default" r:id="rId6"/>
          <w:pgSz w:w="11906" w:h="16838"/>
          <w:pgMar w:top="1134" w:right="1417" w:bottom="1134" w:left="1984" w:header="708" w:footer="708" w:gutter="0"/>
          <w:cols w:space="708"/>
          <w:docGrid w:linePitch="360"/>
        </w:sectPr>
      </w:pPr>
      <w:r>
        <w:lastRenderedPageBreak/>
        <w:t>.....................................................</w:t>
      </w:r>
    </w:p>
    <w:p w:rsidR="00A77B3E" w:rsidRDefault="00870D71">
      <w:pPr>
        <w:keepNext/>
        <w:spacing w:before="120" w:after="120" w:line="72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FC42CD">
        <w:t>Załącznik do Uchwały Nr ....................</w:t>
      </w:r>
      <w:r w:rsidR="00FC42CD">
        <w:br/>
        <w:t xml:space="preserve">Zarządu </w:t>
      </w:r>
      <w:r w:rsidR="00FC42CD">
        <w:t>Powiatu Tczewskiego</w:t>
      </w:r>
      <w:r w:rsidR="00FC42CD">
        <w:br/>
        <w:t>z dnia....................2017 r.</w:t>
      </w:r>
    </w:p>
    <w:p w:rsidR="00A77B3E" w:rsidRDefault="00FC42CD">
      <w:pPr>
        <w:keepNext/>
        <w:spacing w:after="480"/>
        <w:jc w:val="center"/>
        <w:rPr>
          <w:b/>
        </w:rPr>
      </w:pPr>
      <w:r>
        <w:rPr>
          <w:b/>
        </w:rPr>
        <w:t>Regulamin Realizatora pilotażowego Programu „Aktywny samorząd”, określający zasady przyznania dofinansowania osobom niepełnosprawnym</w:t>
      </w:r>
    </w:p>
    <w:p w:rsidR="00A77B3E" w:rsidRDefault="00FC42CD">
      <w:pPr>
        <w:keepLines/>
        <w:spacing w:before="120" w:after="120"/>
        <w:ind w:firstLine="340"/>
      </w:pPr>
      <w:r>
        <w:rPr>
          <w:b/>
        </w:rPr>
        <w:t>§ 1. </w:t>
      </w:r>
      <w:r>
        <w:rPr>
          <w:b/>
        </w:rPr>
        <w:t xml:space="preserve"> Zasady ogólne </w:t>
      </w:r>
    </w:p>
    <w:p w:rsidR="00A77B3E" w:rsidRDefault="00FC42CD">
      <w:pPr>
        <w:keepLines/>
        <w:spacing w:before="120" w:after="120"/>
        <w:ind w:firstLine="340"/>
      </w:pPr>
      <w:r>
        <w:t>1. </w:t>
      </w:r>
      <w:r>
        <w:t xml:space="preserve">Warunki uczestnictwa w pilotażowym programie </w:t>
      </w:r>
      <w:r>
        <w:t>„Aktywny samorząd”, zwanym dalej Programem, oraz jego realizacja określone są w następujących dokumentach Państwowego Funduszu Rehabilitacji Osób Niepełnosprawnych:</w:t>
      </w:r>
    </w:p>
    <w:p w:rsidR="00A77B3E" w:rsidRDefault="00FC42CD">
      <w:pPr>
        <w:spacing w:before="120" w:after="120"/>
        <w:ind w:left="340" w:hanging="227"/>
      </w:pPr>
      <w:r>
        <w:t>1) </w:t>
      </w:r>
      <w:r>
        <w:t>tekst jednolity Pilotażowego Programu „Aktywny samorząd”;</w:t>
      </w:r>
    </w:p>
    <w:p w:rsidR="00A77B3E" w:rsidRDefault="00FC42CD">
      <w:pPr>
        <w:spacing w:before="120" w:after="120"/>
        <w:ind w:left="340" w:hanging="227"/>
      </w:pPr>
      <w:r>
        <w:t>2) </w:t>
      </w:r>
      <w:r>
        <w:t>Zasady dotyczące wyboru, do</w:t>
      </w:r>
      <w:r>
        <w:t>finansowania i rozliczania wniosków o dofinansowanie w ramach modułu I i II pilotażowego programu „Aktywny samorząd”;</w:t>
      </w:r>
    </w:p>
    <w:p w:rsidR="00A77B3E" w:rsidRDefault="00FC42CD">
      <w:pPr>
        <w:spacing w:before="120" w:after="120"/>
        <w:ind w:left="340" w:hanging="227"/>
      </w:pPr>
      <w:r>
        <w:t>3) </w:t>
      </w:r>
      <w:r>
        <w:t>Kierunki działań oraz warunki brzegowe obowiązujące realizatorów pilotażowego programu „Aktywny samorząd” w 2017 roku,</w:t>
      </w:r>
    </w:p>
    <w:p w:rsidR="00A77B3E" w:rsidRDefault="00FC42CD">
      <w:pPr>
        <w:spacing w:before="360" w:after="360"/>
        <w:ind w:left="624" w:firstLine="227"/>
      </w:pPr>
      <w:r>
        <w:t>dostępnych na st</w:t>
      </w:r>
      <w:r>
        <w:t>ronie internetowej www.pfron.org.pl.</w:t>
      </w:r>
    </w:p>
    <w:p w:rsidR="00A77B3E" w:rsidRDefault="00FC42CD">
      <w:pPr>
        <w:keepLines/>
        <w:spacing w:before="120" w:after="120"/>
        <w:ind w:firstLine="340"/>
      </w:pPr>
      <w:r>
        <w:t>2. </w:t>
      </w:r>
      <w:r>
        <w:t>Pozostałe warunki realizacji Programu zawarte zostały w Regulaminie Realizatora pilotażowego Programu „Aktywny samorząd”, określającym zasady  przyznania dofinansowania osobom niepełnosprawnym, w szczególności w zakr</w:t>
      </w:r>
      <w:r>
        <w:t>esie kompetencji udzielonych Realizatorowi Programu, o których mowa w dokumentach określonych w ust.1.</w:t>
      </w:r>
    </w:p>
    <w:p w:rsidR="00A77B3E" w:rsidRDefault="00FC42CD">
      <w:pPr>
        <w:keepLines/>
        <w:spacing w:before="120" w:after="120"/>
        <w:ind w:firstLine="340"/>
      </w:pPr>
      <w:r>
        <w:rPr>
          <w:b/>
        </w:rPr>
        <w:t>§ 2. </w:t>
      </w:r>
      <w:r>
        <w:rPr>
          <w:b/>
        </w:rPr>
        <w:t xml:space="preserve">  Miejsce i terminy składania wniosków </w:t>
      </w:r>
    </w:p>
    <w:p w:rsidR="00A77B3E" w:rsidRDefault="00FC42CD">
      <w:pPr>
        <w:keepLines/>
        <w:spacing w:before="120" w:after="120"/>
        <w:ind w:firstLine="340"/>
      </w:pPr>
      <w:r>
        <w:t>1. </w:t>
      </w:r>
      <w:r>
        <w:t>Miejsce złożenia wniosku: Starostwo Powiatowe w Tczewie, ul. Piaskowa 2, 83-110 Tczew.</w:t>
      </w:r>
    </w:p>
    <w:p w:rsidR="00A77B3E" w:rsidRDefault="00FC42CD">
      <w:pPr>
        <w:keepLines/>
        <w:spacing w:before="120" w:after="120"/>
        <w:ind w:firstLine="340"/>
      </w:pPr>
      <w:r>
        <w:t>2. </w:t>
      </w:r>
      <w:r>
        <w:t>Przyjmowanie wn</w:t>
      </w:r>
      <w:r>
        <w:t>iosków w 2017 roku następuje w trybie ciągłym:</w:t>
      </w:r>
    </w:p>
    <w:p w:rsidR="00A77B3E" w:rsidRDefault="00FC42CD">
      <w:pPr>
        <w:spacing w:before="120" w:after="120"/>
        <w:ind w:left="340" w:hanging="227"/>
      </w:pPr>
      <w:r>
        <w:t>1) </w:t>
      </w:r>
      <w:r>
        <w:t>w Module I – od dnia 18 kwietnia do 30 sierpnia;</w:t>
      </w:r>
    </w:p>
    <w:p w:rsidR="00A77B3E" w:rsidRDefault="00FC42CD">
      <w:pPr>
        <w:spacing w:before="120" w:after="120"/>
        <w:ind w:left="340" w:hanging="227"/>
      </w:pPr>
      <w:r>
        <w:t>2) </w:t>
      </w:r>
      <w:r>
        <w:t>w Module II, adekwatnie do organizacji roku akademickiego/szkolnego:</w:t>
      </w:r>
    </w:p>
    <w:p w:rsidR="00A77B3E" w:rsidRDefault="00FC42CD">
      <w:pPr>
        <w:keepLines/>
        <w:spacing w:before="120" w:after="120"/>
        <w:ind w:left="567" w:hanging="227"/>
      </w:pPr>
      <w:r>
        <w:t>a) </w:t>
      </w:r>
      <w:r>
        <w:t>od 13 marca do 30 marca (dla wniosków dotyczących roku akademickiego 2016/2017),</w:t>
      </w:r>
    </w:p>
    <w:p w:rsidR="00A77B3E" w:rsidRDefault="00FC42CD">
      <w:pPr>
        <w:keepLines/>
        <w:spacing w:before="120" w:after="120"/>
        <w:ind w:left="567" w:hanging="227"/>
      </w:pPr>
      <w:r>
        <w:t>b</w:t>
      </w:r>
      <w:r>
        <w:t>) </w:t>
      </w:r>
      <w:r>
        <w:t>od 1 września do 10 października (dla wniosków dotyczących roku akademickiego 2017/2018),</w:t>
      </w:r>
    </w:p>
    <w:p w:rsidR="00A77B3E" w:rsidRDefault="00FC42CD">
      <w:pPr>
        <w:spacing w:before="360" w:after="360"/>
        <w:ind w:left="850" w:firstLine="227"/>
      </w:pPr>
      <w:r>
        <w:t>z tym, że refundacja kosztów czesnego poniesionych przed zawarciem umowy dofinansowania jest możliwa wyłącznie w ramach aktualnie trwającego roku (zgodnie z rozdzia</w:t>
      </w:r>
      <w:r>
        <w:t>łem VII, ust.3, pkt 2 Programu), tj.:</w:t>
      </w:r>
    </w:p>
    <w:p w:rsidR="00A77B3E" w:rsidRDefault="00FC42CD">
      <w:pPr>
        <w:keepLines/>
        <w:spacing w:before="120" w:after="120"/>
        <w:ind w:left="794" w:hanging="113"/>
      </w:pPr>
      <w:r>
        <w:t>- </w:t>
      </w:r>
      <w:r>
        <w:t>aktualnego roku szkolnego/akademickiego 2016/2017,</w:t>
      </w:r>
    </w:p>
    <w:p w:rsidR="00A77B3E" w:rsidRDefault="00FC42CD">
      <w:pPr>
        <w:keepLines/>
        <w:spacing w:before="120" w:after="120"/>
        <w:ind w:left="794" w:hanging="113"/>
      </w:pPr>
      <w:r>
        <w:t>- </w:t>
      </w:r>
      <w:r>
        <w:t>roku szkolnego/akademickiego 2017/2018 w przypadku wniosków składanych do 10 października 2017 roku.</w:t>
      </w:r>
    </w:p>
    <w:p w:rsidR="00A77B3E" w:rsidRDefault="00FC42CD">
      <w:pPr>
        <w:keepLines/>
        <w:spacing w:before="120" w:after="120"/>
        <w:ind w:firstLine="340"/>
      </w:pPr>
      <w:r>
        <w:lastRenderedPageBreak/>
        <w:t>3. </w:t>
      </w:r>
      <w:r>
        <w:t xml:space="preserve">Za datę złożenia wniosku uważa się datę jego wpływu do </w:t>
      </w:r>
      <w:r>
        <w:t>Biura Obsługi Klienta Starostwa Powiatowego w Tczewie, a w przypadku wniosków składanych drogą pocztową, datę stempla pocztowego.</w:t>
      </w:r>
    </w:p>
    <w:p w:rsidR="00A77B3E" w:rsidRDefault="00FC42CD">
      <w:pPr>
        <w:keepLines/>
        <w:spacing w:before="120" w:after="120"/>
        <w:ind w:firstLine="340"/>
      </w:pPr>
      <w:r>
        <w:t>4. </w:t>
      </w:r>
      <w:r>
        <w:t xml:space="preserve">Dwaj członkowie Zarządu Powiatu Tczewskiego, lub etatowy członek Zarządu Powiatu Tczewskiego i Naczelnik Wydziału Zdrowia, </w:t>
      </w:r>
      <w:r>
        <w:t>Spraw Społecznych i PFRON, a w przypadku jego nieobecności Zastępca Naczelnika, mogą podjąć decyzję o przywróceniu wnioskodawcy terminu określonego w ust.2, pkt 1. W przypadku terminów określonych w ust. 2, pkt 2 Realizator Programu ma prawo podjęcia decyz</w:t>
      </w:r>
      <w:r>
        <w:t>ji o przywróceniu Wnioskodawcy terminu przyjęcia wniosku, ale nie dotyczy to wniosków o refundację kosztów czesnego za rok akademicki 2016/2017, które należy złożyć w okresie trwania tego roku akademickiego.</w:t>
      </w:r>
    </w:p>
    <w:p w:rsidR="00A77B3E" w:rsidRDefault="00FC42CD">
      <w:pPr>
        <w:keepLines/>
        <w:spacing w:before="120" w:after="120"/>
        <w:ind w:firstLine="340"/>
      </w:pPr>
      <w:r>
        <w:rPr>
          <w:b/>
        </w:rPr>
        <w:t>§ 3. </w:t>
      </w:r>
      <w:r>
        <w:rPr>
          <w:b/>
        </w:rPr>
        <w:t xml:space="preserve"> Tryb i kryteria stosowane przy wyborze wni</w:t>
      </w:r>
      <w:r>
        <w:rPr>
          <w:b/>
        </w:rPr>
        <w:t>osku</w:t>
      </w:r>
    </w:p>
    <w:p w:rsidR="00A77B3E" w:rsidRDefault="00FC42CD">
      <w:pPr>
        <w:keepLines/>
        <w:spacing w:before="120" w:after="120"/>
        <w:ind w:firstLine="340"/>
      </w:pPr>
      <w:r>
        <w:t>1. </w:t>
      </w:r>
      <w:r>
        <w:t xml:space="preserve">Składane wnioski będą podlegały weryfikacji formalnej, a w przypadku </w:t>
      </w:r>
      <w:r>
        <w:br/>
        <w:t>Modułu I również merytorycznej.</w:t>
      </w:r>
    </w:p>
    <w:p w:rsidR="00A77B3E" w:rsidRDefault="00FC42CD">
      <w:pPr>
        <w:keepLines/>
        <w:spacing w:before="120" w:after="120"/>
        <w:ind w:firstLine="340"/>
      </w:pPr>
      <w:r>
        <w:t>2. </w:t>
      </w:r>
      <w:r>
        <w:t>Weryfikację formalną i merytoryczną wniosków przeprowadzają pracownicy Wydziału Zdrowia, Spraw Społecznych i PFRON, wyznaczeni przez Naczelnika</w:t>
      </w:r>
      <w:r>
        <w:t xml:space="preserve"> Wydziału lub Zastępcę Naczelnika.</w:t>
      </w:r>
    </w:p>
    <w:p w:rsidR="00A77B3E" w:rsidRDefault="00FC42CD">
      <w:pPr>
        <w:keepLines/>
        <w:spacing w:before="120" w:after="120"/>
        <w:ind w:firstLine="340"/>
      </w:pPr>
      <w:r>
        <w:t>3. </w:t>
      </w:r>
      <w:r>
        <w:t>Weryfikacja formalna złożonych wniosków przeprowadzana będzie na bieżąco. Termin na dokonanie weryfikacji to 10 dni od dnia złożenia wniosku.</w:t>
      </w:r>
    </w:p>
    <w:p w:rsidR="00A77B3E" w:rsidRDefault="00FC42CD">
      <w:pPr>
        <w:keepLines/>
        <w:spacing w:before="120" w:after="120"/>
        <w:ind w:firstLine="340"/>
      </w:pPr>
      <w:r>
        <w:t>4. </w:t>
      </w:r>
      <w:r>
        <w:t>Weryfikacji formalnej podlega:</w:t>
      </w:r>
    </w:p>
    <w:p w:rsidR="00A77B3E" w:rsidRDefault="00FC42CD">
      <w:pPr>
        <w:spacing w:before="120" w:after="120"/>
        <w:ind w:left="340" w:hanging="227"/>
      </w:pPr>
      <w:r>
        <w:t>1) </w:t>
      </w:r>
      <w:r>
        <w:t>spełnianie przez Wnioskodawcę/podopiecz</w:t>
      </w:r>
      <w:r>
        <w:t>nego Wnioskodawcy wszystkich kryteriów uprawniających do złożenia wniosku i uzyskania dofinansowania;</w:t>
      </w:r>
    </w:p>
    <w:p w:rsidR="00A77B3E" w:rsidRDefault="00FC42CD">
      <w:pPr>
        <w:spacing w:before="120" w:after="120"/>
        <w:ind w:left="340" w:hanging="227"/>
      </w:pPr>
      <w:r>
        <w:t>2) </w:t>
      </w:r>
      <w:r>
        <w:t>dotrzymanie przez Wnioskodawcę terminu na złożenie wniosku;</w:t>
      </w:r>
    </w:p>
    <w:p w:rsidR="00A77B3E" w:rsidRDefault="00FC42CD">
      <w:pPr>
        <w:spacing w:before="120" w:after="120"/>
        <w:ind w:left="340" w:hanging="227"/>
      </w:pPr>
      <w:r>
        <w:t>3) </w:t>
      </w:r>
      <w:r>
        <w:t>zgodność zgłoszonego we wniosku przedmiotu dofinansowania z zasadami wskazanymi w Progra</w:t>
      </w:r>
      <w:r>
        <w:t>mie;</w:t>
      </w:r>
    </w:p>
    <w:p w:rsidR="00A77B3E" w:rsidRDefault="00FC42CD">
      <w:pPr>
        <w:spacing w:before="120" w:after="120"/>
        <w:ind w:left="340" w:hanging="227"/>
      </w:pPr>
      <w:r>
        <w:t>4) </w:t>
      </w:r>
      <w:r>
        <w:t>kompletność i poprawność danych zawartych we wniosku, zgodność wniosku oraz wymaganych załączników;</w:t>
      </w:r>
    </w:p>
    <w:p w:rsidR="00A77B3E" w:rsidRDefault="00FC42CD">
      <w:pPr>
        <w:spacing w:before="120" w:after="120"/>
        <w:ind w:left="340" w:hanging="227"/>
      </w:pPr>
      <w:r>
        <w:t>5) </w:t>
      </w:r>
      <w:r>
        <w:t>wypełnienie wymagalnych rubryk we wniosku i załącznikach do wniosku;</w:t>
      </w:r>
    </w:p>
    <w:p w:rsidR="00A77B3E" w:rsidRDefault="00FC42CD">
      <w:pPr>
        <w:spacing w:before="120" w:after="120"/>
        <w:ind w:left="340" w:hanging="227"/>
      </w:pPr>
      <w:r>
        <w:t>6) </w:t>
      </w:r>
      <w:r>
        <w:t>zgodność reprezentacji Wnioskodawcy lub jego podopiecznego.</w:t>
      </w:r>
    </w:p>
    <w:p w:rsidR="00A77B3E" w:rsidRDefault="00FC42CD">
      <w:pPr>
        <w:keepLines/>
        <w:spacing w:before="120" w:after="120"/>
        <w:ind w:firstLine="340"/>
      </w:pPr>
      <w:r>
        <w:t>5. </w:t>
      </w:r>
      <w:r>
        <w:t>W przypadk</w:t>
      </w:r>
      <w:r>
        <w:t>u stwierdzenia nieprawidłowości w zakresie, o którym mowa w ust. 4, pkt 4-6 dopuszcza się możliwość wezwania Wnioskodawców do ich usunięcia</w:t>
      </w:r>
      <w:r>
        <w:br/>
        <w:t>w terminie do 30 dni od dnia otrzymania wezwania przez Wnioskodawcę. Nieusunięcie ich w wyznaczonym terminie powoduj</w:t>
      </w:r>
      <w:r>
        <w:t>e negatywną weryfikację formalną i skutkuje pozostawieniem wniosku bez rozpatrzenia.</w:t>
      </w:r>
    </w:p>
    <w:p w:rsidR="00A77B3E" w:rsidRDefault="00FC42CD">
      <w:pPr>
        <w:keepLines/>
        <w:spacing w:before="120" w:after="120"/>
        <w:ind w:firstLine="340"/>
      </w:pPr>
      <w:r>
        <w:t>6. </w:t>
      </w:r>
      <w:r>
        <w:t>Decyzja o przyznaniu dofinansowania zostanie podjęta w następujących terminach:</w:t>
      </w:r>
    </w:p>
    <w:p w:rsidR="00A77B3E" w:rsidRDefault="00FC42CD">
      <w:pPr>
        <w:spacing w:before="120" w:after="120"/>
        <w:ind w:left="340" w:hanging="227"/>
      </w:pPr>
      <w:r>
        <w:t>1) </w:t>
      </w:r>
      <w:r>
        <w:t>w Module I – w ciągu 30 dni od dnia złożenia kompletnego wniosku;</w:t>
      </w:r>
    </w:p>
    <w:p w:rsidR="00A77B3E" w:rsidRDefault="00FC42CD">
      <w:pPr>
        <w:spacing w:before="120" w:after="120"/>
        <w:ind w:left="340" w:hanging="227"/>
      </w:pPr>
      <w:r>
        <w:t>2) </w:t>
      </w:r>
      <w:r>
        <w:t>w Module II - od</w:t>
      </w:r>
      <w:r>
        <w:t>powiednio do dnia 31 maja i 22 grudnia,</w:t>
      </w:r>
    </w:p>
    <w:p w:rsidR="00A77B3E" w:rsidRDefault="00FC42CD">
      <w:pPr>
        <w:spacing w:before="360" w:after="360"/>
        <w:ind w:left="624" w:firstLine="227"/>
      </w:pPr>
      <w:r>
        <w:t>w wyjątkowych sytuacjach w terminach późniejszych.</w:t>
      </w:r>
    </w:p>
    <w:p w:rsidR="00A77B3E" w:rsidRDefault="00FC42CD">
      <w:pPr>
        <w:keepLines/>
        <w:spacing w:before="120" w:after="120"/>
        <w:ind w:firstLine="340"/>
      </w:pPr>
      <w:r>
        <w:t>7. </w:t>
      </w:r>
      <w:r>
        <w:t>Weryfikację merytoryczną wniosków przeprowadzają łącznie dwaj pracownicy Wydziału Zdrowia, Spraw Społecznych i PFRON w ciągu 30 dni od złożenia kompletnego wniosk</w:t>
      </w:r>
      <w:r>
        <w:t>u.</w:t>
      </w:r>
    </w:p>
    <w:p w:rsidR="00A77B3E" w:rsidRDefault="00FC42CD">
      <w:pPr>
        <w:keepLines/>
        <w:spacing w:before="120" w:after="120"/>
        <w:ind w:firstLine="340"/>
      </w:pPr>
      <w:r>
        <w:t>8. </w:t>
      </w:r>
      <w:r>
        <w:t>Weryfikacja merytoryczna wniosku przeprowadzana jest w celu wyłonienia wniosków, które mają największe szanse na realizację celów Programu.W związku z tym stosowany będzie punktowy system oceny wniosków.</w:t>
      </w:r>
    </w:p>
    <w:p w:rsidR="00A77B3E" w:rsidRDefault="00FC42CD">
      <w:pPr>
        <w:keepLines/>
        <w:spacing w:before="120" w:after="120"/>
        <w:ind w:firstLine="340"/>
      </w:pPr>
      <w:r>
        <w:t>9. </w:t>
      </w:r>
      <w:r>
        <w:t>Wnioski złożone w ramach Modułu I będą ocen</w:t>
      </w:r>
      <w:r>
        <w:t>iane zgodnie z kartą oceny merytorycznej, stanowiącą załącznik do Regulaminu.</w:t>
      </w:r>
    </w:p>
    <w:p w:rsidR="00A77B3E" w:rsidRDefault="00FC42CD">
      <w:pPr>
        <w:keepLines/>
        <w:spacing w:before="120" w:after="120"/>
        <w:ind w:firstLine="340"/>
      </w:pPr>
      <w:r>
        <w:lastRenderedPageBreak/>
        <w:t>10. </w:t>
      </w:r>
      <w:r>
        <w:t xml:space="preserve">W pierwszej kolejności dofinansowanie otrzymają Wnioskodawcy, którzy w ocenie merytorycznej, przy maksymalnej możliwej liczbie punktów 100, uzyskali minimalną liczbę punktów </w:t>
      </w:r>
      <w:r>
        <w:t>60, pod warunkiem posiadania przez Realizatora środków.</w:t>
      </w:r>
    </w:p>
    <w:p w:rsidR="00A77B3E" w:rsidRDefault="00FC42CD">
      <w:pPr>
        <w:keepLines/>
        <w:spacing w:before="120" w:after="120"/>
        <w:ind w:firstLine="340"/>
      </w:pPr>
      <w:r>
        <w:t>11. </w:t>
      </w:r>
      <w:r>
        <w:t>Udzielenie dofinansowania Wnioskodawcom, których wnioski uzyskały mniejszą niż określoną w ust. 10 liczbę punktów, uzależnione będzie od możliwości wynikających z wysokości ostatecznej puli środkó</w:t>
      </w:r>
      <w:r>
        <w:t>w PFRON przekazanych Realizatorowi programu. Wnioski te zostaną umieszczone na liście wniosków oczekujących na dofinansowanie.</w:t>
      </w:r>
    </w:p>
    <w:p w:rsidR="00A77B3E" w:rsidRDefault="00FC42CD">
      <w:pPr>
        <w:keepLines/>
        <w:spacing w:before="120" w:after="120"/>
        <w:ind w:firstLine="340"/>
      </w:pPr>
      <w:r>
        <w:rPr>
          <w:b/>
        </w:rPr>
        <w:t>§ 4. </w:t>
      </w:r>
      <w:r>
        <w:rPr>
          <w:b/>
        </w:rPr>
        <w:t>Sposób różnicowania wysokości dofinansowania.</w:t>
      </w:r>
    </w:p>
    <w:p w:rsidR="00A77B3E" w:rsidRDefault="00FC42CD">
      <w:pPr>
        <w:keepLines/>
        <w:spacing w:before="120" w:after="120"/>
        <w:ind w:firstLine="340"/>
      </w:pPr>
      <w:r>
        <w:t>1. </w:t>
      </w:r>
      <w:r>
        <w:t xml:space="preserve">W ramach Modułu I, Obszar A, Zadanie nr 2, dofinansowanie ze środków PFRON </w:t>
      </w:r>
      <w:r>
        <w:t>na pokrycie kosztów dojazdu na kurs prawa jazdy kat. B i powrotu z kursu w okresie jego trwania oblicza się na podstawie:</w:t>
      </w:r>
    </w:p>
    <w:p w:rsidR="00A77B3E" w:rsidRDefault="00FC42CD">
      <w:pPr>
        <w:spacing w:before="120" w:after="120"/>
        <w:ind w:left="340" w:hanging="227"/>
      </w:pPr>
      <w:r>
        <w:t>1) </w:t>
      </w:r>
      <w:r>
        <w:t>ceny biletu za przejazd krajowy wykonywany przez uprawnionego przewoźnika w drugiej klasie pociągu, uwzględniając posiadane uprawni</w:t>
      </w:r>
      <w:r>
        <w:t>enia do ulgowych przejazdów środkami publicznego transportu zbiorowego, bez względu na tytuł tych uprawnień;</w:t>
      </w:r>
    </w:p>
    <w:p w:rsidR="00A77B3E" w:rsidRDefault="00FC42CD">
      <w:pPr>
        <w:spacing w:before="120" w:after="120"/>
        <w:ind w:left="340" w:hanging="227"/>
      </w:pPr>
      <w:r>
        <w:t>2) </w:t>
      </w:r>
      <w:r>
        <w:t>ceny biletu za przejazd w autobusowej komunikacji zwykłej przewoźnika wykonującego regularne przejazdy, uwzględniając wymienione w pkt. 1 uprawn</w:t>
      </w:r>
      <w:r>
        <w:t>ienia do ulgowych przejazdów;</w:t>
      </w:r>
    </w:p>
    <w:p w:rsidR="00A77B3E" w:rsidRDefault="00FC42CD">
      <w:pPr>
        <w:spacing w:before="120" w:after="120"/>
        <w:ind w:left="340" w:hanging="227"/>
      </w:pPr>
      <w:r>
        <w:t>3) </w:t>
      </w:r>
      <w:r>
        <w:t>ceny biletu za przejazdy publicznymi środkami komunikacji miejskiej, uwzględniając wymienione w pkt.1 uprawnienia do ulgowych przejazdów;</w:t>
      </w:r>
    </w:p>
    <w:p w:rsidR="00A77B3E" w:rsidRDefault="00FC42CD">
      <w:pPr>
        <w:spacing w:before="120" w:after="120"/>
        <w:ind w:left="340" w:hanging="227"/>
      </w:pPr>
      <w:r>
        <w:t>4) </w:t>
      </w:r>
      <w:r>
        <w:t xml:space="preserve">kwoty odpowiadającej cenie biletu najtańszego dostępnego środka komunikacji </w:t>
      </w:r>
      <w:r>
        <w:t>publicznego transportu zbiorowego w przypadku, gdy między miejscem zamieszkania osoby uczęszczającej na kurs prawa jazdy kat. B,a miejscem odbywania się kursu nie ma osobowej komunikacji kolejowej lub autobusowej komunikacji zwykłej lub rozkład jazdy nie u</w:t>
      </w:r>
      <w:r>
        <w:t>możliwia dojazdu na określony czas i koniecznym jest przewiezienie kursanta innym środkiem komunikacyjnym, np. samochodem</w:t>
      </w:r>
    </w:p>
    <w:p w:rsidR="00A77B3E" w:rsidRDefault="00FC42CD">
      <w:pPr>
        <w:keepLines/>
        <w:spacing w:before="120" w:after="120"/>
        <w:ind w:firstLine="340"/>
      </w:pPr>
      <w:r>
        <w:t>2. </w:t>
      </w:r>
      <w:r>
        <w:t>W ramach Modułu II:</w:t>
      </w:r>
    </w:p>
    <w:p w:rsidR="00A77B3E" w:rsidRDefault="00FC42CD">
      <w:pPr>
        <w:spacing w:before="120" w:after="120"/>
        <w:ind w:left="340" w:hanging="227"/>
      </w:pPr>
      <w:r>
        <w:t>1) </w:t>
      </w:r>
      <w:r>
        <w:t>podstawowa kwota dodatku na pokrycie kosztów kształcenia wynosi:</w:t>
      </w:r>
    </w:p>
    <w:p w:rsidR="00A77B3E" w:rsidRDefault="00FC42CD">
      <w:pPr>
        <w:keepLines/>
        <w:spacing w:before="120" w:after="120"/>
        <w:ind w:left="567" w:hanging="227"/>
      </w:pPr>
      <w:r>
        <w:t>a) </w:t>
      </w:r>
      <w:r>
        <w:t>do 800 zł - w przypadku osób z orzeczony</w:t>
      </w:r>
      <w:r>
        <w:t>m umiarkowanym stopniem niepełnosprawności lub równoważnym,</w:t>
      </w:r>
    </w:p>
    <w:p w:rsidR="00A77B3E" w:rsidRDefault="00FC42CD">
      <w:pPr>
        <w:keepLines/>
        <w:spacing w:before="120" w:after="120"/>
        <w:ind w:left="567" w:hanging="227"/>
      </w:pPr>
      <w:r>
        <w:t>b) </w:t>
      </w:r>
      <w:r>
        <w:t>do 1.000 zł – w przypadku osób z orzeczonym znacznym stopniem niepełnosprawności lub równoważnym;</w:t>
      </w:r>
    </w:p>
    <w:p w:rsidR="00A77B3E" w:rsidRDefault="00FC42CD">
      <w:pPr>
        <w:spacing w:before="120" w:after="120"/>
        <w:ind w:left="340" w:hanging="227"/>
      </w:pPr>
      <w:r>
        <w:t>2) </w:t>
      </w:r>
      <w:r>
        <w:t>dodatek na pokrycie kosztów kształcenia może być zwiększony</w:t>
      </w:r>
      <w:r>
        <w:br/>
        <w:t>nie więcej niż o:</w:t>
      </w:r>
    </w:p>
    <w:p w:rsidR="00A77B3E" w:rsidRDefault="00FC42CD">
      <w:pPr>
        <w:keepLines/>
        <w:spacing w:before="120" w:after="120"/>
        <w:ind w:left="567" w:hanging="227"/>
      </w:pPr>
      <w:r>
        <w:t>a) </w:t>
      </w:r>
      <w:r>
        <w:t>700 zł – w </w:t>
      </w:r>
      <w:r>
        <w:t>przypadku, gdy wnioskodawca ponosi dodatkowe koszty z powodu barier w poruszaniu się lub z powodu barier w komunikowaniu się, w szczególności gdy:</w:t>
      </w:r>
    </w:p>
    <w:p w:rsidR="00A77B3E" w:rsidRDefault="00FC42CD">
      <w:pPr>
        <w:keepLines/>
        <w:spacing w:before="120" w:after="120"/>
        <w:ind w:left="794" w:hanging="113"/>
      </w:pPr>
      <w:r>
        <w:t>- </w:t>
      </w:r>
      <w:r>
        <w:t>korzysta z pomocy tłumacza migowego,</w:t>
      </w:r>
    </w:p>
    <w:p w:rsidR="00A77B3E" w:rsidRDefault="00FC42CD">
      <w:pPr>
        <w:keepLines/>
        <w:spacing w:before="120" w:after="120"/>
        <w:ind w:left="794" w:hanging="113"/>
      </w:pPr>
      <w:r>
        <w:t>- </w:t>
      </w:r>
      <w:r>
        <w:t>korzysta z pomocy asystenta osoby niepełnosprawnej niewidomej,</w:t>
      </w:r>
    </w:p>
    <w:p w:rsidR="00A77B3E" w:rsidRDefault="00FC42CD">
      <w:pPr>
        <w:keepLines/>
        <w:spacing w:before="120" w:after="120"/>
        <w:ind w:left="794" w:hanging="113"/>
      </w:pPr>
      <w:r>
        <w:t>- </w:t>
      </w:r>
      <w:r>
        <w:t>por</w:t>
      </w:r>
      <w:r>
        <w:t>usza się na wózku inwalidzkim;</w:t>
      </w:r>
    </w:p>
    <w:p w:rsidR="00A77B3E" w:rsidRDefault="00FC42CD">
      <w:pPr>
        <w:keepLines/>
        <w:spacing w:before="120" w:after="120"/>
        <w:ind w:left="567" w:hanging="227"/>
      </w:pPr>
      <w:r>
        <w:t>b) </w:t>
      </w:r>
      <w:r>
        <w:t>500 zł – w przypadku, gdy wnioskodawca ponosi koszty z tytułu pobierania nauki poza miejscem zamieszkania,</w:t>
      </w:r>
    </w:p>
    <w:p w:rsidR="00A77B3E" w:rsidRDefault="00FC42CD">
      <w:pPr>
        <w:keepLines/>
        <w:spacing w:before="120" w:after="120"/>
        <w:ind w:left="567" w:hanging="227"/>
      </w:pPr>
      <w:r>
        <w:t>c) </w:t>
      </w:r>
      <w:r>
        <w:t>300 zł – w przypadku, gdy wnioskodawca posiada aktualną (ważną) Kartę Dużej Rodziny,</w:t>
      </w:r>
    </w:p>
    <w:p w:rsidR="00A77B3E" w:rsidRDefault="00FC42CD">
      <w:pPr>
        <w:keepLines/>
        <w:spacing w:before="120" w:after="120"/>
        <w:ind w:left="567" w:hanging="227"/>
      </w:pPr>
      <w:r>
        <w:t>d) </w:t>
      </w:r>
      <w:r>
        <w:t>300 zł – w przypadku, gd</w:t>
      </w:r>
      <w:r>
        <w:t>y wnioskodawca pobiera naukę jednocześnie na dwóch (lub więcej) kierunkach studiów/nauki.</w:t>
      </w:r>
    </w:p>
    <w:p w:rsidR="00A77B3E" w:rsidRDefault="00FC42CD">
      <w:pPr>
        <w:keepLines/>
        <w:spacing w:before="120" w:after="120"/>
        <w:ind w:firstLine="340"/>
      </w:pPr>
      <w:r>
        <w:lastRenderedPageBreak/>
        <w:t>3. </w:t>
      </w:r>
      <w:r>
        <w:t>W przypadku, gdy posiadane środki w Module II nie umożliwią Realizatorowi udzielenia dodatku na pokrycie kosztów kształcenia we wnioskowanych kwotach, pierwszeństw</w:t>
      </w:r>
      <w:r>
        <w:t>o będą mieli Wnioskodawcy ze znacznym stopniem niepełnosprawności oraz o najniższym, przeciętnym miesięcznym dochodzie. Dwaj członkowie Zarządu Powiatu Tczewskiego, lub etatowy członek Zarządu Powiatu Tczewskiego i Naczelnik Wydziału Zdrowia, Spraw Społecz</w:t>
      </w:r>
      <w:r>
        <w:t>nych i PFRON, a w przypadku jego nieobecności Zastępca Naczelnika, określą progi przeciętnego miesięcznego dochodu uprawniające do uzyskania odpowiedniej kwoty dofinansowania.</w:t>
      </w:r>
    </w:p>
    <w:p w:rsidR="00A77B3E" w:rsidRDefault="00FC42CD">
      <w:pPr>
        <w:keepLines/>
        <w:spacing w:before="120" w:after="120"/>
        <w:ind w:firstLine="340"/>
      </w:pPr>
      <w:r>
        <w:rPr>
          <w:b/>
        </w:rPr>
        <w:t>§ 5. </w:t>
      </w:r>
      <w:r>
        <w:rPr>
          <w:b/>
        </w:rPr>
        <w:t xml:space="preserve">Tryb przyznawania dofinansowania, podpisanie umowy i jej rozliczenie </w:t>
      </w:r>
    </w:p>
    <w:p w:rsidR="00A77B3E" w:rsidRDefault="00FC42CD">
      <w:pPr>
        <w:keepLines/>
        <w:spacing w:before="120" w:after="120"/>
        <w:ind w:firstLine="340"/>
      </w:pPr>
      <w:r>
        <w:t>1. </w:t>
      </w:r>
      <w:r>
        <w:t>De</w:t>
      </w:r>
      <w:r>
        <w:t>cyzję w sprawie przyznania dofinansowania (pozytywną, negatywną lub</w:t>
      </w:r>
      <w:r>
        <w:br/>
        <w:t>o odroczeniu)  podejmuje etatowy członek Zarządu Powiatu Tczewskiego lub Naczelnik Wydziału Zdrowia, Spraw Społecznych i PFRON, a w przypadku jego nieobecności Zastępca Naczelnika, zawiada</w:t>
      </w:r>
      <w:r>
        <w:t>miając o jej treści Wnioskodawców.</w:t>
      </w:r>
    </w:p>
    <w:p w:rsidR="00A77B3E" w:rsidRDefault="00FC42CD">
      <w:pPr>
        <w:keepLines/>
        <w:spacing w:before="120" w:after="120"/>
        <w:ind w:firstLine="340"/>
      </w:pPr>
      <w:r>
        <w:t>2. </w:t>
      </w:r>
      <w:r>
        <w:t>Decyzje o przyznaniu lub odmowie dofinansowania nie są decyzjami w rozumieniu przepisów Kodeksu Postępowania Administracyjnego.</w:t>
      </w:r>
    </w:p>
    <w:p w:rsidR="00A77B3E" w:rsidRDefault="00FC42CD">
      <w:pPr>
        <w:keepLines/>
        <w:spacing w:before="120" w:after="120"/>
        <w:ind w:firstLine="340"/>
      </w:pPr>
      <w:r>
        <w:t>3. </w:t>
      </w:r>
      <w:r>
        <w:t xml:space="preserve">Decyzja o przyznaniu dofinansowania jest podstawą zawarcia umowy dofinansowania </w:t>
      </w:r>
      <w:r>
        <w:t>pomiędzy Powiatem a Wnioskodawcą.</w:t>
      </w:r>
    </w:p>
    <w:p w:rsidR="00A77B3E" w:rsidRDefault="00FC42CD">
      <w:pPr>
        <w:keepLines/>
        <w:spacing w:before="120" w:after="120"/>
        <w:ind w:firstLine="340"/>
      </w:pPr>
      <w:r>
        <w:t>4. </w:t>
      </w:r>
      <w:r>
        <w:t>Warunkiem zawarcia umowy dofinansowania jest spełnienie przez Wnioskodawcę lub jego podopiecznego warunków uczestnictwa określonych w Programie także w dniu podpisania umowy.</w:t>
      </w:r>
    </w:p>
    <w:p w:rsidR="00A77B3E" w:rsidRDefault="00FC42CD">
      <w:pPr>
        <w:keepLines/>
        <w:spacing w:before="120" w:after="120"/>
        <w:ind w:firstLine="340"/>
      </w:pPr>
      <w:r>
        <w:t>5. </w:t>
      </w:r>
      <w:r>
        <w:t>Szczegółowe postanowienia dotyczące reali</w:t>
      </w:r>
      <w:r>
        <w:t>zacji umowy dofinansowania i jej rozliczenia, w tym terminu złożenia dokumentów rozliczeniowych, zostaną określone w indywidualnej umowie zawartej pomiędzy Powiatem a Wnioskodawcą.</w:t>
      </w:r>
    </w:p>
    <w:p w:rsidR="00A77B3E" w:rsidRDefault="00FC42CD">
      <w:pPr>
        <w:keepLines/>
        <w:spacing w:before="120" w:after="120"/>
        <w:ind w:firstLine="340"/>
      </w:pPr>
      <w:r>
        <w:t>6. </w:t>
      </w:r>
      <w:r>
        <w:t>Dwaj członkowie Zarządu Powiatu Tczewskiego, lub etatowy członek Zarządu</w:t>
      </w:r>
      <w:r>
        <w:t xml:space="preserve"> Powiatu Tczewskiego i Naczelnik Wydziału Zdrowia, Spraw Społecznych i PFRON, a w przypadku jego nieobecności Zastępca Naczelnika, mogą podjąć decyzję o przywróceniu wnioskodawcy terminu złożenia dokumentów rozliczeniowych.</w:t>
      </w:r>
    </w:p>
    <w:p w:rsidR="00A77B3E" w:rsidRDefault="00FC42CD">
      <w:pPr>
        <w:keepLines/>
        <w:spacing w:before="120" w:after="120"/>
        <w:ind w:firstLine="340"/>
      </w:pPr>
      <w:r>
        <w:rPr>
          <w:b/>
        </w:rPr>
        <w:t>§ 6. </w:t>
      </w:r>
      <w:r>
        <w:rPr>
          <w:b/>
        </w:rPr>
        <w:t>Kontrola</w:t>
      </w:r>
    </w:p>
    <w:p w:rsidR="00A77B3E" w:rsidRDefault="00FC42CD">
      <w:pPr>
        <w:keepLines/>
        <w:spacing w:before="120" w:after="120"/>
        <w:ind w:firstLine="340"/>
      </w:pPr>
      <w:r>
        <w:t>1. </w:t>
      </w:r>
      <w:r>
        <w:t>Powiat Tczewski</w:t>
      </w:r>
      <w:r>
        <w:t xml:space="preserve"> oraz PFRON mają prawo kontroli wykorzystania przedmiotu dofinansowania oraz prawidłowości, rzetelności i zgodności ze stanem faktycznym danych zawartych w dokumentach, stanowiących podstawę rozliczenia dofinansowania.</w:t>
      </w:r>
    </w:p>
    <w:p w:rsidR="00A77B3E" w:rsidRDefault="00FC42CD">
      <w:pPr>
        <w:keepLines/>
        <w:spacing w:before="120" w:after="120"/>
        <w:ind w:firstLine="340"/>
      </w:pPr>
      <w:r>
        <w:t>2. </w:t>
      </w:r>
      <w:r>
        <w:t>Prawo przeprowadzenia kontroli prz</w:t>
      </w:r>
      <w:r>
        <w:t>ysługuje osobom upoważnionym przez Starostę Tczewskiego, zarówno w siedzibie Realizatora, jak i w innym miejscu realizacji umowy.</w:t>
      </w:r>
    </w:p>
    <w:p w:rsidR="00A77B3E" w:rsidRDefault="00FC42CD">
      <w:pPr>
        <w:spacing w:before="360" w:after="360"/>
        <w:ind w:left="283" w:firstLine="227"/>
        <w:jc w:val="right"/>
      </w:pPr>
      <w:r>
        <w:br w:type="page"/>
      </w:r>
      <w:r>
        <w:lastRenderedPageBreak/>
        <w:t>Załącznik do Regulaminu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2541"/>
        <w:gridCol w:w="1549"/>
        <w:gridCol w:w="1068"/>
        <w:gridCol w:w="1188"/>
        <w:gridCol w:w="992"/>
        <w:gridCol w:w="992"/>
      </w:tblGrid>
      <w:tr w:rsidR="00870D71">
        <w:trPr>
          <w:trHeight w:val="803"/>
        </w:trPr>
        <w:tc>
          <w:tcPr>
            <w:tcW w:w="87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left"/>
            </w:pPr>
          </w:p>
          <w:p w:rsidR="00A77B3E" w:rsidRDefault="00FC42CD">
            <w:pPr>
              <w:jc w:val="left"/>
            </w:pPr>
          </w:p>
          <w:p w:rsidR="00A77B3E" w:rsidRDefault="00FC42CD">
            <w:pPr>
              <w:jc w:val="left"/>
              <w:rPr>
                <w:b/>
              </w:rPr>
            </w:pPr>
            <w:r>
              <w:rPr>
                <w:b/>
              </w:rPr>
              <w:t>KARTA OCENY MERYTORYCZNEJ WNIOSKU nr: .................................................</w:t>
            </w:r>
          </w:p>
        </w:tc>
      </w:tr>
      <w:tr w:rsidR="00870D71">
        <w:trPr>
          <w:trHeight w:val="394"/>
        </w:trPr>
        <w:tc>
          <w:tcPr>
            <w:tcW w:w="4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KRYTERIA </w:t>
            </w:r>
            <w:r>
              <w:rPr>
                <w:b/>
                <w:sz w:val="16"/>
              </w:rPr>
              <w:t>OCENY WNIOSKU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Liczba punktów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Maksymalna liczba punktów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Punktacja  </w:t>
            </w:r>
            <w:r>
              <w:rPr>
                <w:b/>
                <w:sz w:val="16"/>
              </w:rPr>
              <w:br/>
              <w:t xml:space="preserve">nr 1 wniosku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Punktacja  </w:t>
            </w:r>
            <w:r>
              <w:rPr>
                <w:b/>
                <w:sz w:val="16"/>
              </w:rPr>
              <w:br/>
              <w:t xml:space="preserve">nr 2 wniosku </w:t>
            </w:r>
          </w:p>
        </w:tc>
      </w:tr>
      <w:tr w:rsidR="00870D71">
        <w:trPr>
          <w:trHeight w:val="33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Stopień niepełnosprawności:</w:t>
            </w:r>
          </w:p>
        </w:tc>
      </w:tr>
      <w:tr w:rsidR="00870D71">
        <w:trPr>
          <w:trHeight w:val="413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a)</w:t>
            </w:r>
          </w:p>
        </w:tc>
        <w:tc>
          <w:tcPr>
            <w:tcW w:w="25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stopień niepełnosprawności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znaczny lub orzeczenie równoważne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368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25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umiarkowany lub orzeczenie równoważne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40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b)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orzeczenie o niepełnosprawności (osoby do 16 r.ż.)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40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c)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występuje niepełnosprawność sprzężona  (więcej niż jedna przyczyna niepełnosprawności wynikająca z posiadanego orzeczenia)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3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Aktywność zawodowa:</w:t>
            </w:r>
          </w:p>
        </w:tc>
      </w:tr>
      <w:tr w:rsidR="00870D71">
        <w:trPr>
          <w:trHeight w:val="426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a)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osoba zatrudniona (bez względu na </w:t>
            </w:r>
            <w:r>
              <w:rPr>
                <w:b/>
                <w:sz w:val="12"/>
              </w:rPr>
              <w:t>formę i czas zatrudnienia)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42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b)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osoba zarejestrowana w urzędzie pracy jako bezrobotna lub poszukująca pracy i niepozostająca w zatrudnieniu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438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c)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osoba podnosząca kwalifikacje zawodowe lub działająca na rzecz środowiska osób niepełnosprawnych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359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Aktualnie realizowany etap kształcenia </w:t>
            </w:r>
            <w:r>
              <w:rPr>
                <w:i/>
                <w:sz w:val="16"/>
              </w:rPr>
              <w:t>(jeden do wyboru)</w:t>
            </w:r>
            <w:r>
              <w:rPr>
                <w:b/>
                <w:sz w:val="16"/>
              </w:rPr>
              <w:t>:</w:t>
            </w:r>
          </w:p>
        </w:tc>
      </w:tr>
      <w:tr w:rsidR="00870D71">
        <w:trPr>
          <w:trHeight w:val="486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a)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studia I lub II stopnia, magisterskie, studia podyplomowe, doktoranckie, przewód doktorski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42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b)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nauka w szkole ponadgimnazjalnej lub policealnej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42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c)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nauka w szkole </w:t>
            </w:r>
            <w:r>
              <w:rPr>
                <w:b/>
                <w:sz w:val="12"/>
              </w:rPr>
              <w:t>podstawowej lub w gimnazjum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42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d)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realizowana jest podstawa programowa wychowania przedszkolnego </w:t>
            </w:r>
            <w:r>
              <w:rPr>
                <w:b/>
                <w:sz w:val="12"/>
              </w:rPr>
              <w:br/>
              <w:t>– klasa zerowa lub pobierana jest nauka w ramach innych form kształcenia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38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Inne kryteria:</w:t>
            </w:r>
          </w:p>
        </w:tc>
      </w:tr>
      <w:tr w:rsidR="00870D71">
        <w:trPr>
          <w:trHeight w:val="42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a)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miejsce zamieszkania: wieś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51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b)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Wnioskodawca nie </w:t>
            </w:r>
            <w:r>
              <w:rPr>
                <w:b/>
                <w:sz w:val="12"/>
              </w:rPr>
              <w:t>otrzymał dotąd dofinansowania ze środków PFRON na przedmiot dofinansowania objęty wnioskiem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49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 c)</w:t>
            </w:r>
          </w:p>
        </w:tc>
        <w:tc>
          <w:tcPr>
            <w:tcW w:w="25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dodatkowe osoby niepełnosprawne </w:t>
            </w:r>
            <w:r>
              <w:rPr>
                <w:b/>
                <w:sz w:val="12"/>
              </w:rPr>
              <w:br/>
              <w:t>w gospodarstwie  domowym Wnioskodawcy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w przypadku jednej osoby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426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25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w przypadku dwóch </w:t>
            </w:r>
            <w:r>
              <w:rPr>
                <w:b/>
                <w:sz w:val="12"/>
              </w:rPr>
              <w:br/>
              <w:t xml:space="preserve">i więcej osób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41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d)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uzasadnienie wskazujące na związek udzielenia dofinansowania z możliwością realizacji celów programu: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438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e)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wniosek był  kompletny w dniu złożenia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C42CD">
            <w:pPr>
              <w:jc w:val="center"/>
            </w:pPr>
          </w:p>
        </w:tc>
      </w:tr>
      <w:tr w:rsidR="00870D71">
        <w:trPr>
          <w:trHeight w:val="657"/>
        </w:trPr>
        <w:tc>
          <w:tcPr>
            <w:tcW w:w="4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C42CD">
            <w:pPr>
              <w:jc w:val="center"/>
            </w:pPr>
          </w:p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 OCENA WNIOSKU (PKT 1 – 4)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FC4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maksymalnie 100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FC42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…..……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FC42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……….</w:t>
            </w:r>
          </w:p>
        </w:tc>
      </w:tr>
    </w:tbl>
    <w:p w:rsidR="00A77B3E" w:rsidRDefault="00FC42CD">
      <w:pPr>
        <w:sectPr w:rsidR="00A77B3E">
          <w:footerReference w:type="default" r:id="rId7"/>
          <w:pgSz w:w="11906" w:h="16838"/>
          <w:pgMar w:top="1134" w:right="1417" w:bottom="1134" w:left="1984" w:header="708" w:footer="708" w:gutter="0"/>
          <w:pgNumType w:start="1"/>
          <w:cols w:space="708"/>
          <w:docGrid w:linePitch="360"/>
        </w:sectPr>
      </w:pPr>
    </w:p>
    <w:p w:rsidR="00870D71" w:rsidRDefault="00870D71">
      <w:pPr>
        <w:pStyle w:val="Normal0"/>
        <w:rPr>
          <w:shd w:val="clear" w:color="auto" w:fill="FFFFFF"/>
        </w:rPr>
      </w:pPr>
    </w:p>
    <w:p w:rsidR="00870D71" w:rsidRDefault="00FC42CD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870D71" w:rsidRDefault="00FC42CD">
      <w:pPr>
        <w:pStyle w:val="Normal0"/>
        <w:spacing w:before="120" w:after="120"/>
        <w:ind w:firstLine="720"/>
        <w:rPr>
          <w:shd w:val="clear" w:color="auto" w:fill="FFFFFF"/>
        </w:rPr>
      </w:pPr>
      <w:r>
        <w:rPr>
          <w:shd w:val="clear" w:color="auto" w:fill="FFFFFF"/>
        </w:rPr>
        <w:t xml:space="preserve">W dniu 29 maja 2012 roku Rada Powiatu Tczewskiego podjęła uchwałę w sprawie przystąpienia do realizacji programu pn.: „Aktywny samorząd”. </w:t>
      </w:r>
    </w:p>
    <w:p w:rsidR="00870D71" w:rsidRDefault="00FC42CD">
      <w:pPr>
        <w:pStyle w:val="Normal0"/>
        <w:spacing w:before="120" w:after="120"/>
        <w:ind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Zgodnie z </w:t>
      </w:r>
      <w:r>
        <w:rPr>
          <w:shd w:val="clear" w:color="auto" w:fill="FFFFFF"/>
          <w:lang w:bidi="pl-PL"/>
        </w:rPr>
        <w:t xml:space="preserve">obowiązującymi zasadami, dotyczącymi wyboru, dofinansowania i rozliczenia wniosków </w:t>
      </w:r>
      <w:r>
        <w:rPr>
          <w:shd w:val="clear" w:color="auto" w:fill="FFFFFF"/>
          <w:lang w:bidi="pl-PL"/>
        </w:rPr>
        <w:br/>
        <w:t>o dofinansowanie w ramach modułu I i II pilotażowego programu „Aktywny samorząd”, Realizator dokumentuje przyjęte przez siebie szczegółowe zasady rozpatrywania wniosków w s</w:t>
      </w:r>
      <w:r>
        <w:rPr>
          <w:shd w:val="clear" w:color="auto" w:fill="FFFFFF"/>
          <w:lang w:bidi="pl-PL"/>
        </w:rPr>
        <w:t>posób umożliwiający ocenę zgodności podejmowanych decyzji z przyjętymi zasadami.</w:t>
      </w:r>
    </w:p>
    <w:p w:rsidR="00870D71" w:rsidRDefault="00FC42CD">
      <w:pPr>
        <w:pStyle w:val="Normal0"/>
        <w:spacing w:before="120" w:after="120"/>
        <w:ind w:left="283" w:firstLine="22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związku z powyższym podjęcie uchwały jest </w:t>
      </w:r>
      <w:r>
        <w:rPr>
          <w:shd w:val="clear" w:color="auto" w:fill="FFFFFF"/>
          <w:lang w:bidi="pl-PL"/>
        </w:rPr>
        <w:t>zasadne</w:t>
      </w:r>
      <w:r>
        <w:rPr>
          <w:shd w:val="clear" w:color="auto" w:fill="FFFFFF"/>
        </w:rPr>
        <w:t xml:space="preserve">. </w:t>
      </w:r>
    </w:p>
    <w:p w:rsidR="00870D71" w:rsidRDefault="00870D71">
      <w:pPr>
        <w:pStyle w:val="Normal0"/>
        <w:spacing w:line="360" w:lineRule="auto"/>
        <w:jc w:val="both"/>
        <w:rPr>
          <w:shd w:val="clear" w:color="auto" w:fill="FFFFFF"/>
        </w:rPr>
      </w:pPr>
    </w:p>
    <w:sectPr w:rsidR="00870D71" w:rsidSect="00870D71">
      <w:footerReference w:type="default" r:id="rId8"/>
      <w:pgSz w:w="11907" w:h="16839" w:code="9"/>
      <w:pgMar w:top="1440" w:right="862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D71" w:rsidRDefault="00870D71" w:rsidP="00870D71">
      <w:r>
        <w:separator/>
      </w:r>
    </w:p>
  </w:endnote>
  <w:endnote w:type="continuationSeparator" w:id="0">
    <w:p w:rsidR="00870D71" w:rsidRDefault="00870D71" w:rsidP="0087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81"/>
      <w:gridCol w:w="1240"/>
    </w:tblGrid>
    <w:tr w:rsidR="00870D7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70D71" w:rsidRDefault="00FC42CD">
          <w:pPr>
            <w:jc w:val="left"/>
            <w:rPr>
              <w:sz w:val="18"/>
            </w:rPr>
          </w:pPr>
          <w:r>
            <w:rPr>
              <w:sz w:val="18"/>
            </w:rPr>
            <w:t>Id: 95E9DDC9-EB4F-4DE5-B196-ECD8AD230198.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70D71" w:rsidRDefault="00FC42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70D7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870D71">
            <w:rPr>
              <w:sz w:val="18"/>
            </w:rPr>
            <w:fldChar w:fldCharType="end"/>
          </w:r>
        </w:p>
      </w:tc>
    </w:tr>
  </w:tbl>
  <w:p w:rsidR="00870D71" w:rsidRDefault="00870D7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81"/>
      <w:gridCol w:w="1240"/>
    </w:tblGrid>
    <w:tr w:rsidR="00870D7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70D71" w:rsidRDefault="00FC42C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95E9DDC9-EB4F-4DE5-B196-ECD8AD230198.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70D71" w:rsidRDefault="00FC42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70D7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70D71">
            <w:rPr>
              <w:sz w:val="18"/>
            </w:rPr>
            <w:fldChar w:fldCharType="end"/>
          </w:r>
        </w:p>
      </w:tc>
    </w:tr>
  </w:tbl>
  <w:p w:rsidR="00870D71" w:rsidRDefault="00870D7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424"/>
      <w:gridCol w:w="1397"/>
    </w:tblGrid>
    <w:tr w:rsidR="00870D7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70D71" w:rsidRDefault="00FC42CD">
          <w:pPr>
            <w:jc w:val="left"/>
            <w:rPr>
              <w:sz w:val="18"/>
            </w:rPr>
          </w:pPr>
          <w:r>
            <w:rPr>
              <w:sz w:val="18"/>
            </w:rPr>
            <w:t>Id: 95E9DDC9-EB4F-4DE5-B196-ECD8AD230198.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70D71" w:rsidRDefault="00FC42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70D7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 w:rsidR="00870D71">
            <w:rPr>
              <w:sz w:val="18"/>
            </w:rPr>
            <w:fldChar w:fldCharType="end"/>
          </w:r>
        </w:p>
      </w:tc>
    </w:tr>
  </w:tbl>
  <w:p w:rsidR="00870D71" w:rsidRDefault="00870D7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D71" w:rsidRDefault="00870D71" w:rsidP="00870D71">
      <w:r>
        <w:separator/>
      </w:r>
    </w:p>
  </w:footnote>
  <w:footnote w:type="continuationSeparator" w:id="0">
    <w:p w:rsidR="00870D71" w:rsidRDefault="00870D71" w:rsidP="00870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D71"/>
    <w:rsid w:val="00870D71"/>
    <w:rsid w:val="00FC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0D7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870D71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1923</Words>
  <Characters>12994</Characters>
  <Application>Microsoft Office Word</Application>
  <DocSecurity>0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w^sprawie określenia zasad realizacji pilotażowego programu „Aktywny samorząd ”</dc:subject>
  <dc:creator>abierut</dc:creator>
  <cp:lastModifiedBy>bciewiertnia</cp:lastModifiedBy>
  <cp:revision>2</cp:revision>
  <dcterms:created xsi:type="dcterms:W3CDTF">2017-03-22T10:39:00Z</dcterms:created>
  <dcterms:modified xsi:type="dcterms:W3CDTF">2017-03-22T10:39:00Z</dcterms:modified>
  <cp:category>Akt prawny</cp:category>
</cp:coreProperties>
</file>