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9B" w:rsidRDefault="00D97A9B" w:rsidP="00D97A9B">
      <w:pPr>
        <w:spacing w:before="40"/>
        <w:rPr>
          <w:rFonts w:ascii="Arial Narrow" w:hAnsi="Arial Narrow" w:cs="Arial Narrow"/>
          <w:b/>
          <w:bCs/>
          <w:sz w:val="22"/>
          <w:szCs w:val="22"/>
        </w:rPr>
      </w:pPr>
    </w:p>
    <w:p w:rsidR="00D97A9B" w:rsidRDefault="00D97A9B" w:rsidP="00D97A9B">
      <w:pPr>
        <w:spacing w:before="4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Opłaty roczne z tytułu użytkowania wieczystego nieruchomości gruntowych i opłaty z tytułu przekształcenia prawa użytkowania wieczystego w prawo własności nieruchomości gruntowych należy uiszczać na konto Powiatu Tczewskiego:</w:t>
      </w:r>
    </w:p>
    <w:p w:rsidR="00D97A9B" w:rsidRDefault="00D97A9B" w:rsidP="00D97A9B">
      <w:pPr>
        <w:spacing w:before="4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Getin Noble Bank S. A. w Warszawie</w:t>
      </w:r>
    </w:p>
    <w:p w:rsidR="00D97A9B" w:rsidRDefault="00D97A9B" w:rsidP="00D97A9B">
      <w:pPr>
        <w:spacing w:before="4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10 1560 0013 2226 4983 1000 0028</w:t>
      </w:r>
    </w:p>
    <w:p w:rsidR="00F9469C" w:rsidRDefault="00F9469C"/>
    <w:sectPr w:rsidR="00F9469C" w:rsidSect="00F9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97A9B"/>
    <w:rsid w:val="00D63D9A"/>
    <w:rsid w:val="00D97A9B"/>
    <w:rsid w:val="00F9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7A9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253</Characters>
  <Application>Microsoft Office Word</Application>
  <DocSecurity>0</DocSecurity>
  <Lines>2</Lines>
  <Paragraphs>1</Paragraphs>
  <ScaleCrop>false</ScaleCrop>
  <Company>Starostwo Powiatowe w Tczewie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icemka</dc:creator>
  <cp:lastModifiedBy>icemka</cp:lastModifiedBy>
  <cp:revision>1</cp:revision>
  <dcterms:created xsi:type="dcterms:W3CDTF">2015-05-18T11:23:00Z</dcterms:created>
  <dcterms:modified xsi:type="dcterms:W3CDTF">2015-05-18T11:32:00Z</dcterms:modified>
</cp:coreProperties>
</file>